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19</w:t>
      </w:r>
    </w:p>
    <w:p>
      <w:r>
        <w:t>Bundesgericht (BGE), 2008-12-17, DE</w:t>
      </w:r>
    </w:p>
    <w:p>
      <w:r>
        <w:rPr>
          <w:b/>
        </w:rPr>
        <w:t xml:space="preserve">Quelle: </w:t>
      </w:r>
      <w:r>
        <w:t>https://mcp.opencaselaw.ch/entscheid/bge_BGE_135_I_19</w:t>
      </w:r>
    </w:p>
    <w:p>
      <w:r>
        <w:t>FR: ATF 135 I 19</w:t>
      </w:r>
    </w:p>
    <w:p>
      <w:r>
        <w:t>IT: DTF 135 I 19</w:t>
      </w:r>
    </w:p>
    <w:p>
      <w:pPr>
        <w:pStyle w:val="Heading2"/>
      </w:pPr>
      <w:r>
        <w:t>Regeste</w:t>
      </w:r>
    </w:p>
    <w:p>
      <w:r>
        <w:t>Regeste Art. 34 Abs. 2 BV, Art. 2 lit. x KV/SG; Anspruch auf unverfälschte Stimmabgabe; direkte Wahl der Volksvertreter nach Proporzsystem; Grundsatz des freien Mandats. Erneuerungswahl des St. Galler Kantonsparlaments: Gültigkeit der Wahl einer Kandidatin, die auf der Liste einer Partei gewählt wird, aber zwischen Wahltermin und Konstituierung des Parlaments zu einer Partei mit konkurrierender Liste übertritt (E. 3-5).</w:t>
      </w:r>
    </w:p>
    <w:p>
      <w:r>
        <w:t>Regeste Art. 34 al. 2 Cst., art. 2 let. x Cst./SG; droit à ce que le résultat d'une élection corresponde à l'expression fidèle et sûre de la volonté du corps électoral; élection directe des représentants du peuple selon le système de la représentation proportionnelle; principe du libre exercice du mandat. Renouvellement du parlement cantonal saint-gallois: validité de l'élection d'une candidate qui a été élue sur la liste d'un parti, mais qui a rallié, entre la date des élections et la constitution du parlement, un parti ayant présenté une liste concurrente (consid. 3-5).</w:t>
      </w:r>
    </w:p>
    <w:p>
      <w:r>
        <w:t>Regesto Art. 34 cpv. 2 Cost., art. 2 lett. x Cost./SG; diritto alla libera formazione della volontà e all'espressione fedele del voto; elezione diretta dei rappresentanti del popolo secondo il sistema della rappresentanza proporzionale; principio del libero esercizio del mandato. Rinnovo del parlamento cantonale sangallese: validità dell'elezione di una candidata che è stata eletta sulla lista di un partito, ma che, tra la data dell'elezione e la costituzione del parlamento, ha aderito a un partito che aveva presentato una lista concorrente (consid. 3-5).</w:t>
      </w:r>
    </w:p>
    <w:p>
      <w:pPr>
        <w:pStyle w:val="Heading2"/>
      </w:pPr>
      <w:r>
        <w:t>Erwägungen</w:t>
      </w:r>
    </w:p>
    <w:p>
      <w:r>
        <w:rPr>
          <w:b/>
        </w:rPr>
        <w:t>E. 2.1</w:t>
      </w:r>
    </w:p>
    <w:p>
      <w:r>
        <w:t>Zur Hauptsache rufen die Beschwerdeführer Art. 34 Abs. 2 BV und Art. 2 lit. x KV/SG (SR 131.225) an. Art. 34 Abs. 2 BV schützt die freie Willensbildung und unverfälschte Stimmabgabe. Die Garantie bedeutet, dass kein Abstimmungs- oder Wahlergebnis anerkannt werden darf, das nicht den freien Willen der Stimmbürger zuverlässig und unverfälscht zum Ausdruck bringt. Der Wählerwille soll sich möglichst unverfälscht in der Zusammensetzung des Parlaments widerspiegeln (vgl. BGE 131 I 442 E. 3.1 S. 447; BGE 123 I 97 E. 4a S. 105). Art. 2 KV/SG gewährleistet die Grundrechte nach Massgabe der Bundesverfassung in allgemeiner Weise und schliesst namentlich auch die freie Willensbildung und unverfälschte Stimmabgabe in Ausübung der politischen Rechte ein (lit. x). Diese kantonalen Garantien reichen nicht über jene von Art. 34 Abs. 2 BV hinaus (Urteil des Bundesgerichts 1C_412/2007 vom 18. Juli 2008 E. 3).</w:t>
      </w:r>
    </w:p>
    <w:p>
      <w:r>
        <w:rPr>
          <w:b/>
        </w:rPr>
        <w:t>E. 2.2</w:t>
      </w:r>
    </w:p>
    <w:p>
      <w:r>
        <w:t>In der Replik bringen die Beschwerdeführer Rügen vor, die sie in der Beschwerdeschrift nicht geltend gemacht haben. Es gilt vorweg zu prüfen, ob dies zulässig sei.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die der Beschwerdeführer bereits vor Ablauf der Beschwerdefrist hätte erheben können (vgl. BGE 134 IV 156 E. 1.7 S. 162; BGE 132 I 42 E. 3.3.4 S. 47 mit weiteren Hinweisen).</w:t>
      </w:r>
    </w:p>
    <w:p>
      <w:r>
        <w:rPr>
          <w:b/>
        </w:rPr>
        <w:t>E. 2.2.1</w:t>
      </w:r>
    </w:p>
    <w:p>
      <w:r>
        <w:t>Zum einen führen die Beschwerdeführer in diesem Rahmen aus, der angefochtene Entscheid verstosse gegen Art. 62 Abs. 3 des Geschäftsreglements des Kantonsrats vom 24. Oktober 1979 (sGS 131.11) und sei auch deswegen aufzuheben. Mit dieser Bestimmung wird vorgeschrieben, dass gewisse vorberatende Kommissionen des Kantonsrats in der Regel dem Kantonsrat schriftlich Bericht zu erstatten haben. Die Beschwerdeführer beanstanden, es sei vorliegend nur eine kurze mündliche und damit unzulängliche Berichterstattung erfolgt. Dass diese neu erhobene Rüge wegen Äusserungen in der Vernehmlassung der Kantonsregierung notwendig geworden sei, ist weder behauptet noch ersichtlich. Bereits aus dem Protokollauszug, den die Beschwerdeführer als Anfechtungsobjekt BGE 135 I 19 S. 22 eingereicht haben, geht hervor, wie die kritisierte Berichterstattung im Rat vor sich ging. Auf die diesbezüglichen Vorbringen kann demzufolge nicht eingetreten werden.</w:t>
      </w:r>
    </w:p>
    <w:p>
      <w:r>
        <w:rPr>
          <w:b/>
        </w:rPr>
        <w:t>E. 2.2.2</w:t>
      </w:r>
    </w:p>
    <w:p>
      <w:r>
        <w:t>Zum andern dreht sich die Beschwerdeergänzung um die Tatsachenfeststellung des Kantonsrats zum Zeitpunkt, in dem Barbara Keller-Inhelder den Parteiwechsel vollzogen hat. In der Beschwerdeschrift wird entsprechend dem angefochtenen Entscheid - und ohne Infragestellung - vorgebracht, Barbara Keller-Inhelder sei im Nachgang zur Wahl aus der CVP ausgetreten und in die SVP übergetreten. Nichts anderes hat die Kantonsregierung in der Vernehmlassung an das Bundesgericht vorgetragen. In der Replik bringen die Beschwerdeführer nun die Präzisierung an, der Parteiwechsel habe mit an Sicherheit grenzender Wahrscheinlichkeit noch vor dem Wahltermin stattgefunden. Auch insofern sind die Beschwerdeführer nicht zu einer Beschwerdeergänzung berechtigt. Sie machen nicht geltend, die nachträglich behaupteten Tatsachen und neu eingereichten Belege seien ihnen vor Ablauf der Beschwerdefrist nicht zugänglich gewesen. Aus diesem Grund kann auf die diesbezüglichen Ausführungen nicht eingegangen werden. Im Übrigen bekräftigen die Beschwerdeführer in der Replik, die Gegenseite habe mit der Kommunikation des Parteiwechsels gezielt bis nach den Wahlen zugewartet. Die Beschwerdeführer zeigen nicht auf, inwiefern ihre neue Sachdarstellung für den Ausgang des Verfahrens entscheidend sein soll. Nur unter dieser Voraussetzung wäre eine Sachverhaltsrüge gemäss Art. 97 Abs. 1 BGG überhaupt zulässig. Auch im Hinblick darauf sind die neuen Vorbringen zum Sachverhalt unbeachtlich.</w:t>
      </w:r>
    </w:p>
    <w:p>
      <w:r>
        <w:rPr>
          <w:b/>
        </w:rPr>
        <w:t>E. 2.3</w:t>
      </w:r>
    </w:p>
    <w:p>
      <w:r>
        <w:t>Im Ergebnis ist der Streitgegenstand auf die Frage beschränkt, ob es das Stimm- und Wahlrecht verletzt, Barbara Keller-Inhelder trotz des nach den Wahlen vollzogenen Parteiwechsels zur Amtsausübung zuzulassen. Es ist unbestritten, dass die übrigen rechtlichen Voraussetzungen für den Amtsantritt erfüllt sind. Die Beschwerdeführer legen Barbara Keller-Inhelder zur Last, sich gegenüber der Wählerschaft treuwidrig verhalten zu haben. An ihrer Stelle sei dem in Frage kommenden Ersatzmitglied der Wahlliste das Nachrücken zu gestatten. Der Kantonsrat habe verkannt, dass er zum Schutz von Sinn und Zweck des Proporzwahlrechts zu einer solchen Anordnung verpflichtet sei. Die Beschwerdeführer verlangen von den Parlamentariern keine rechtliche Bindung während der ganzen BGE 135 I 19 S. 23 Amtsdauer an die angestammte Partei. Ein Übertritt noch vor der Konstituierung des neugewählten Parlaments ist aber ihrer Meinung nach besonders stossend. Werde in einem solchen Fall der Amtsantritt geschützt, dann entspreche die Zusammensetzung des Parlaments von Beginn weg nicht dem Wählerwillen.</w:t>
      </w:r>
    </w:p>
    <w:p>
      <w:r>
        <w:rPr>
          <w:b/>
        </w:rPr>
        <w:t>E. 3.1</w:t>
      </w:r>
    </w:p>
    <w:p>
      <w:r>
        <w:t>An sich ist es richtig, dass aus Sicht der Stimmberechtigten die Zusammensetzung des Parlaments nicht nur am Wahltag selbst, sondern auch danach dem Wahlergebnis entsprechen soll. Wie es sich insofern verhält, wenn ein gewählter Kandidat bzw. ein Parlamentarier aus der Partei ausscheidet oder in eine andere Partei übertritt, muss vorliegend untersucht werden.</w:t>
      </w:r>
    </w:p>
    <w:p>
      <w:r>
        <w:rPr>
          <w:b/>
        </w:rPr>
        <w:t>E. 3.2</w:t>
      </w:r>
    </w:p>
    <w:p>
      <w:r>
        <w:t>Dabei ist einzubeziehen, dass für die im Amte stehenden Parlamentsmitglieder das Prinzip der auftragsfreien Repräsentation gilt (sog. freies Mandat). Für die Mitglieder der Bundesversammlung wird dieser Grundsatz heute aus Art. 161 Abs. 1 BV abgeleitet; die Bestimmung wurde inhaltlich unverändert aus Art. 91 aBV übernommen (vgl. dazu HÄFELIN/HALLER/KELLER, Schweizerisches Bundesstaatsrecht, 7. Aufl. 2008, N. 1607; MORITZ VON WYSS, in: Die schweizerische Bundesverfassung, Kommentar, 2. Aufl. 2008, N. 3 ff. zu Art. 161 BV ; PIERRE TSCHANNEN, Staatsrecht der Schweizerischen Eidgenossenschaft, 2. Aufl. 2007, § 34 N. 1; AUER/MALINVERNI/HOTTELIER, Droit constitutionnel suisse, Bd. I, 2. Aufl. 2006, N. 70; JEAN-FRANÇOIS AUBERT, in: Petit Commentaire de la Constitution fédérale, 2003, N. 4 zu Art. 161 BV ; derselbe , in: Kommentar zur Bundesverfassung, N. 1 ff. zu Art. 91 aBV ). Nach der herrschenden Staatsrechtslehre in der Schweiz gehört der Grundsatz der auftragsfreien Repräsentation zum Wesen des parlamentarischen Mandats (vgl. HALLER/KÖLZ/GÄCHTER, Allgemeines Staatsrecht, 4. Aufl. 2008, S. 247 f.; TSCHANNEN, a.a.O., § 30 N. 12 ff.; AUBERT, in: Petit Commentaire, N. 1 lit. f der Vorbemerkungen vor Art. 148 ff. BV ). Kritisch zu diesem Grundsatz geäussert hat sich PETER SALADIN; er postulierte eine Verantwortung der Parlamentarier gegenüber ihrer Wählerschaft (Verantwortung als Staatsprinzip, 1984, S. 174 f.). In abgeschwächter Form bekennen sich mehrere Autoren unter dem Stichwort "Responsiveness" zu einer Bindung der Parlamentarier gegenüber ihrer Wählerschaft als Ansprechpartner (vgl. dazu JÖRG PAUL MÜLLER, "Responsive Government": Verantwortung als Kommunikationsproblem, ZSR 1995 I S. 3 ff., 15, 21; RENÉ RHINOW, Grundzüge des Schweizerischen Verfassungsrechts, 2003, N. 1856, BGE 135 I 19 S. 24 2239; PHILIPPE MASTRONARDI, Verfassungslehre, 2007, N. 494 f.; so schon SALADIN, a.a.O., S. 177 ff.). Der Inhalt der soeben erwähnten Standpunkte muss nicht vertieft erörtert werden. Nach dem geltenden Verfassungsrecht des Bundes ist vom Prinzip des freien Mandats auszugehen.</w:t>
      </w:r>
    </w:p>
    <w:p>
      <w:r>
        <w:rPr>
          <w:b/>
        </w:rPr>
        <w:t>E. 3.3</w:t>
      </w:r>
    </w:p>
    <w:p>
      <w:r>
        <w:t>Die sanktgallische Kantonsverfassung enthält keine Regelung zu diesem Aspekt des Parlamentsrechts. Im Schrifttum wird davon ausgegangen, dass der Grundsatz des freien Mandats für ein Kantonsparlament auch ohne besondere Regelung im kantonalen Recht gilt (vgl. MATTHIAS HAUSER, in: Kommentar zur Zürcher Kantonsverfassung, 2007, N. 1 zu Art. 52 KV/ZH ; PETER MÜNCH, Wesen und Bedeutung der Parlamentsfraktion aus schweizerischer Sicht, in: Archiv des öffentlichen Rechts 120/1995 S. 382 ff., 410; KURT EICHENBERGER, Verfassung des Kantons Aargau, Kommentar, 1986, N. 4 der Vorbemerkungen vor § § 76 ff. KV/AG ). Wie die Kantonsregierung in der Vernehmlassung an das Bundesgericht darlegt, sind Parteiwechsel von Kantonsratsmitgliedern nach dem Amtsantritt in der St. Galler Praxis wiederholt vorgekommen, ohne dass diese Politiker zur Abgabe des Mandats verpflichtet gewesen wären. Ungewöhnlich ist beim vorliegenden Fall, dass der Parteiwechsel bereits vor Amtsantritt vollzogen wurde. Im Ergebnis hat der Kantonsrat hier dem Grundsatz des freien Mandats eine für die Zeit zwischen Wahl und Amtsantritt vorauswirkende Tragweite verliehen. Es fragt sich, ob dieser Entscheid mit den politischen Rechten der Beschwerdeführer vereinbar ist.</w:t>
      </w:r>
    </w:p>
    <w:p>
      <w:r>
        <w:rPr>
          <w:b/>
        </w:rPr>
        <w:t>E. 4</w:t>
      </w:r>
    </w:p>
    <w:p>
      <w:r>
        <w:t>Bei Stimmrechtsbeschwerden überprüft das Bundesgericht nicht nur die Auslegung von Bundesrecht und kantonalen verfassungsmässigen Rechten frei ( Art. 95 lit. a und c BGG ). Gestützt auf Art. 95 lit. d BGG prüft es auch die Anwendung des kantonalen Rechts, das den Inhalt des Stimm- und Wahlrechts normiert oder mit diesem in engem Zusammenhang steht, mit freier Kognition. In ausgesprochenen Zweifelsfällen schliesst es sich allerdings der vom obersten kantonalen Organ vertretenen Auffassung an; als solches werden Volk und Parlament anerkannt (vgl. Urteil 1C_5/2007 vom 30. August 2007 E. 1, in: ZBl 109/2008 S. 155). Trotz der freien Prüfung weicht das Bundesgericht nicht leichthin von der Beurteilung des kantonalen Parlaments ab.</w:t>
      </w:r>
    </w:p>
    <w:p>
      <w:r>
        <w:rPr>
          <w:b/>
        </w:rPr>
        <w:t>E. 5</w:t>
      </w:r>
    </w:p>
    <w:p>
      <w:r>
        <w:t>Unter dem Blickwinkel der politischen Rechte geht es um den Aspekt, dass die Volkswahl von Verfassungs wegen eine direkte sein muss. BGE 135 I 19 S. 25</w:t>
      </w:r>
    </w:p>
    <w:p>
      <w:r>
        <w:rPr>
          <w:b/>
        </w:rPr>
        <w:t>E. 5.1</w:t>
      </w:r>
    </w:p>
    <w:p>
      <w:r>
        <w:t>Art. 39 Abs. 1 und Art. 51 Abs. 1 BV verpflichten die Kantone, den Stimmberechtigten das Recht zur direkten Wahl der Volksvertreter einzuräumen (vgl. das Urteil des Bundesgerichts 1P.605/1994 vom 16. März 1995 E. 2b, in: ZBl 97/1996 S. 134). Dieser verfassungsrechtlichen Vorgabe genügen grundsätzlich sowohl das Mehrheits- als auch das Verhältniswahlverfahren ( BGE 131 I 74 E. 3.2 S. 79, BGE 131 I 85 E. 2.2 S. 87; je mit Hinweisen). Die Mitglieder des St. Galler Kantonsrats werden gemäss Art. 37 KV/SG in den bezeichneten Wahlkreisen nach Proporz gewählt. Wie Art. 54 Abs. 1 des kantonalen Gesetzes vom 4. Juli 1971 über die Urnenabstimmungen (UAG; sGS 125.3) festlegt, richtet sich das Wahlverfahren sachgemäss nach der Bundesgesetzgebung zur Wahl des Nationalrats, mithin nach dem Bundesgesetz vom 17. Dezember 1976 über die politischen Rechte (BPR; SR 161.1).</w:t>
      </w:r>
    </w:p>
    <w:p>
      <w:r>
        <w:rPr>
          <w:b/>
        </w:rPr>
        <w:t>E. 5.2</w:t>
      </w:r>
    </w:p>
    <w:p>
      <w:r>
        <w:t>Das Wahlsystem der Verhältniswahl bezweckt, alle massgeblichen politischen Kräfte nach Massgabe ihrer Parteistärke im Parlament Einsitz nehmen zu lassen (vgl. BGE 131 I 74 E. 3.3 S. 80; BGE 123 I 97 E. 4d S. 106 mit weiteren Hinweisen). Bei diesem Wahlsystem tritt die Persönlichkeitswahl in den Hintergrund; im Vordergrund steht die von der Partei bzw. politischen Gruppierung aufgestellte Liste (vgl. BGE 118 Ia 415 E. 6c S. 420 f.; Urteil 1C_217/2008 vom 3. Dezember 2008 E. 2.1). Für die Stimmberechtigten zeichnet sich die Proporzwahl dadurch aus, dass sie nur Kandidaten wählen können, die auf einer Liste vorgeschlagen sind ( BGE 98 Ia 64 E. 3c S. 72 f.; HANGARTNER/KLEY, Die demokratischen Rechte in Bund und Kantonen der Schweizerischen Eidgenossenschaft, 2000, N. 1436). Das Stimm- und Wahlrecht umfasst bei Proporzwahlen einen Anspruch auf gehörige Bekanntgabe der Listen; dazu gehören Angaben über die Erklärung einer Listenverbindung (vgl. BGE 104 Ia 360 E. 3a S. 363 f.).</w:t>
      </w:r>
    </w:p>
    <w:p>
      <w:r>
        <w:rPr>
          <w:b/>
        </w:rPr>
        <w:t>E. 5.3</w:t>
      </w:r>
    </w:p>
    <w:p>
      <w:r>
        <w:t>Die Parteien schlagen die Kandidaten vor, die auf ihren Listen zur Wahl stehen. Die behördliche Bereinigung der Kandidatenlisten erfolgt im Vorverfahren. Im Rahmen des Vorverfahrens haben die Kandidaten schriftlich zu bestätigen, dass sie den Wahlvorschlag annehmen (Art. 13 Abs. 4 der Vollzugsverordnung vom 17. August 1971 zum kantonalen Gesetz über die Urnenabstimmungen [VV-UAG; sGS 125.31] unter Hinweis auf Art. 22 BPR ). Ausserdem ist die sog. Doppelkandidatur verboten: Der Kandidatenname darf nur auf einer Liste erscheinen (vgl. HANGARTNER/KLEY, a.a.O., N. 1433; vgl. im Einzelnen Art. 15 VV-UAG unter Hinweis auf Art. 27 BPR ). BGE 135 I 19 S. 26 Mit diesen Sicherungen wird gewährleistet, dass für den Wahlgang jeder Kandidat einer Liste - bzw. der dahinterstehenden Partei - zugeordnet werden und gestützt darauf direkt die Mandatszuteilung vorgenommen werden kann. Die behördliche Prüfung im Rahmen des Vorverfahrens ist jedoch vorwiegend formeller Natur. Es ist weder vorgeschrieben noch wird geprüft, ob die Kandidaten eine Bindung zu der Partei aufweisen, die sie auf der Liste aufstellt. Zwar werden sich die Kandidaten im Wahlkampf bildlich gesprochen das Etikett der Partei anheften müssen, auf deren Liste sie sich um einen Parlamentssitz bewerben. Diese Tatsache verändert aber die rechtliche Tragweite der vorgenannten Erklärung der Kandidaten im Lichte von Art. 13 Abs. 4 VV-UAG nicht. Daraus lässt sich nichts anderes ableiten, als dass die Unterzeichner mit einer Kandidatur auf dieser Liste einverstanden sind. Sie geben mit dieser Erklärung kein Versprechen zu ihrem Verhalten nach dem Wahlgang ab.</w:t>
      </w:r>
    </w:p>
    <w:p>
      <w:r>
        <w:rPr>
          <w:b/>
        </w:rPr>
        <w:t>E. 5.4</w:t>
      </w:r>
    </w:p>
    <w:p>
      <w:r>
        <w:t>Bei der Proporzwahl bedeutet die Stimmabgabe für einen Kandidaten gleichzeitig eine solche für die Liste, auf der er kandidiert. Diese Einheit von Kandidatenstimme und Listenstimme gilt nachgerade im System der Einzelstimmenkonkurrenz, das im Kanton St. Gallen zur Anwendung gelangt. Das System regelt die Wirkungen des sog. Panaschierens in der Weise, dass die eingelegte Liste Stimmen an die Listen der anderen Parteien verliert, für deren Kandidaten gestimmt wird (vgl. HANGARTNER/KLEY, a.a.O., N. 1439 f., auch zum Folgenden). Auch nach dieser Ordnung werden die Sitze in erster Linie einer Liste bzw. Listenverbindung gemäss der gesamthaft erlangten Stimmenzahl zugeteilt. Innerhalb der Liste werden diese Sitze an die Kandidaten mit den meisten Stimmen vergeben. Primär entscheidend ist somit die Stimme für die Liste. Auch beim Modus der Einzelstimmenkonkurrenz erreichen die direkt abgegebenen Kandidatenstimmen oft nicht die Schwelle, die für das Erlangen eines Mandats mathematisch nötig ist. Unter diesen Umständen verdankt der Kandidat sein Mandat zu einem bedeutenden Teil der Anrechnung von weiteren Listenstimmen. So verhält es sich im vorliegenden Fall, auch wenn Barbara Keller-Inhelder das beste Wahlresultat auf ihrer Liste aufweist. Sie hat rund 4'600 Stimmen auf sich vereinigt; die Verteilungszahl für ein Vollmandat lag bei über 11'500 Stimmen. Der verfassungsrechtliche Entscheid über Auseinandersetzungen der vorliegenden Art kann freilich nicht von der gewonnenen Zahl an Kandidatenstimmen im Einzelfall abhängen. BGE 135 I 19 S. 27</w:t>
      </w:r>
    </w:p>
    <w:p>
      <w:r>
        <w:rPr>
          <w:b/>
        </w:rPr>
        <w:t>E. 5.5</w:t>
      </w:r>
    </w:p>
    <w:p>
      <w:r>
        <w:t>Wie bei E. 3.3 hiervor angesprochen, spielt vielmehr eine wesentliche Rolle, dass die Mitglieder des St. Galler Kantonsparlaments aus ihrer angestammten Partei austreten und sogar in eine andere Partei übertreten können, ohne deshalb zur Abgabe des Mandats verpflichtet zu sein. Sie verletzen keine rechtliche Treuepflicht gegenüber ihrer Wählerschaft, wenn sie die Partei nach Amtsantritt wechseln. Ein derartiges Verhalten verstösst nicht gegen politische Rechte der Wählerschaft (vgl. allgemein TOMAS POLEDNA, Wahlrechtsgrundsätze und kantonale Parlamentswahlen, 1988, S. 283). Dieser Autor spricht sich an derselben Stelle dafür aus, den Schutz vor Mandatsverlust auch auf Konstellationen zu erstrecken, bei denen das Ausscheiden aus der Partei zwischen Wahltermin und Amtsantritt geschieht. In diese Richtung weisen ältere Entscheide bezüglich Ersatzmitgliedern des Nationalrats; Letztere wurden zur Amtsausübung zugelassen, obwohl sie zwischen der Wahl und dem Zeitpunkt des Nachrückens aus ihrer Partei ausgetreten waren bzw. die Partei gewechselt hatten (vgl. dazu JEAN-FRANÇOIS AUBERT, Bundesstaatsrecht der Schweiz, Bd. II, 1995, N. 1191, unter anderem mit Hinweis auf VEB 22/1952 Nr. 10).</w:t>
      </w:r>
    </w:p>
    <w:p>
      <w:r>
        <w:rPr>
          <w:b/>
        </w:rPr>
        <w:t>E. 5.6</w:t>
      </w:r>
    </w:p>
    <w:p>
      <w:r>
        <w:t>Hier ist der Parteiwechsel nur kurz nach dem Wahltag bzw. noch vor der Konstituierung des neugewählten Parlaments vollzogen worden. Dieser Schritt mag fragwürdig und der damit bewirkte Verlust an politischer Glaubwürdigkeit gross sein. Dennoch ist auch ein derartiger Parteiübertritt mit dem verfassungsrechtlichen Grundsatz des direkten Wahlrechts vereinbar. Unmittelbar aus den verfassungsmässigen politischen Rechten lassen sich keine höheren Anforderungen an die Zulassung zum Amtsantritt ableiten, als später während der Amtsausübung gelten. Immerhin stünde es dem kantonalen Gesetzgeber frei, eine Regelung über Konsequenzen zu erlassen für den Fall, dass ein gewählter Kandidat noch vor der Validierung der Wahl aus eigenen Stücken zu der Partei einer konkurrierenden Liste überwechselt. Eine derartige Vorschrift besteht hier nicht. Vor diesem Hintergrund hält es vor der Verfassung stand, dass der Kantonsrat die Wahl von Barbara Keller-Inhelder trotz des fraglichen Parteiwechsels als gültig eingestuft und ihr die Amtsausübung erlaubt hat.</w:t>
      </w:r>
    </w:p>
    <w:p>
      <w:r>
        <w:rPr>
          <w:b/>
        </w:rPr>
        <w:t>E. 5.7</w:t>
      </w:r>
    </w:p>
    <w:p>
      <w:r>
        <w:t>Aufgrund der vorstehenden Überlegungen bildet es ebenfalls keinen gangbaren Weg, die Kandidatenstimmen von Barbara Keller- Inhelder von der alten auf die neue Partei zu transferieren und in diesem Sinne die Sitzzuteilung an die Wahllisten neu zu berechnen. BGE 135 I 19 S. 28 Es besteht daher kein Anlass, den von den Beschwerdeführern verlangten Amtsbericht zu einer Neuberechnung des Wahlergebnisses auf einer solchen Grundlage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