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113</w:t>
      </w:r>
    </w:p>
    <w:p>
      <w:r>
        <w:t>Bundesgericht (BGE), 2009-02-06, DE</w:t>
      </w:r>
    </w:p>
    <w:p>
      <w:r>
        <w:rPr>
          <w:b/>
        </w:rPr>
        <w:t xml:space="preserve">Quelle: </w:t>
      </w:r>
      <w:r>
        <w:t>https://mcp.opencaselaw.ch/entscheid/bge_BGE_135_I_113</w:t>
      </w:r>
    </w:p>
    <w:p>
      <w:r>
        <w:t>FR: ATF 135 I 113</w:t>
      </w:r>
    </w:p>
    <w:p>
      <w:r>
        <w:t>IT: DTF 135 I 113</w:t>
      </w:r>
    </w:p>
    <w:p>
      <w:pPr>
        <w:pStyle w:val="Heading2"/>
      </w:pPr>
      <w:r>
        <w:t>Regeste</w:t>
      </w:r>
    </w:p>
    <w:p>
      <w:r>
        <w:t>Regeste Art. 10 Abs. 1 BV; Art. 2 Ziff. 1 EMRK; Art. 347 Abs. 2 lit. b StGB; Art. 82 lit. a, Art. 83 lit. e, Art. 86 Abs. 2 und 3, Art. 114 BGG; Art. 38 des Zürcher Kantonsratsgesetzes; Recht auf Leben; Ermächtigung zur Strafverfolgung eines Oberrichters. Der Entscheid einer politischen Behörde über die Ermächtigung zur Eröffnung einer Strafuntersuchung gegen einen Oberrichter unterliegt der subsidiären Verfassungsbeschwerde (E. 1). Das Recht auf Leben richtet sich einerseits als Abwehrrecht gegen den Staat, verpflichtet diesen anderseits, im Rahmen seiner Möglichkeiten den Schutz seiner Bürger zu gewährleisten, Tötungsdelikte aufzuklären und deren Urheber zu verfolgen (E. 2.1). Bei Tötungsdelikten stehen die Strafverfolgungsprivilegien in einem Spannungsverhältnis zum Recht auf Leben. Daraus ergibt sich, dass die Interessen an der Strafverfolgung und diejenigen an deren Verhinderung gegeneinander abzuwägen und im Ermächtigungsverfahren unabhängig vom anwendbaren Verfahrensrecht sowohl dem (privilegierten) Beschuldigten als auch den Angehörigen des Opfers Parteirechte einzuräumen sind (E. 2.2 und 2.3).</w:t>
      </w:r>
    </w:p>
    <w:p>
      <w:r>
        <w:t>Regeste Art. 10 al. 1 Cst.; art. 2 par. 1 CEDH; art. 347 al. 2 let. b CP; art. 82 let. a, art. 83 let. e, art. 86 al. 2 et 3, art. 114 LTF; art. 38 de la loi zurichoise sur le Parlement; droit à la vie; autorisation de poursuivre pénalement un juge cantonal. La décision d'une autorité politique relative à l'autorisation d'ouvrir une enquête pénale à l'encontre d'un juge cantonal peut faire l'objet d'un recours constitutionnel subsidiaire (consid. 1). Le droit à la vie offre d'une part une protection à l'encontre de l'Etat et, d'autre part, impose à celui-ci l'obligation d'assurer dans la mesure du possible la protection de ses citoyens, d'enquêter sur les infractions contre la vie et de poursuivre leurs auteurs (consid. 2.1). S'agissant d'infractions contre la vie, tout privilège concédé dans le cadre de la poursuite pénale s'oppose au droit à la vie. Par conséquent, l'Etat doit mettre en balance les intérêts à ce que la poursuite pénale soit entreprise et ceux à ce qu'il lui soit fait obstacle. Ainsi, dans le cadre de la procédure d'autorisation, il doit, quelle que soit la procédure applicable, garantir que tant l'accusé (privilégié) que les proches de la victime bénéficient des droits reconnus aux parties (consid. 2.2 et 2.3).</w:t>
      </w:r>
    </w:p>
    <w:p>
      <w:r>
        <w:t>Regesto Art. 10 cpv. 1 Cost.; art. 2 n. 1 CEDU; art. 347 cpv. 2 lett. b CP; art. 82 lett. a, art. 83 lett. e, art. 86 cpv. 2 e 3, art. 114 LTF; art. 38 della legge zurighese sul Gran Consiglio; diritto alla vita; autorizzazione a procedere penalmente nei confronti di un giudice cantonale. La decisione di un'autorità politica relativa all'autorizzazione ad aprire un'inchiesta penale contro un giudice cantonale può essere impugnata con ricorso sussidiario in materia costituzionale (consid. 1). Il diritto alla vita da un lato è concepito come un diritto di difesa nei confronti dello Stato e dall'altro obbliga quest'ultimo a garantire per quanto possibile la tutela dei suoi cittadini, a far luce sui delitti contro la vita e a perseguire i loro autori (consid. 2.1). In caso di reati di omicidio, i privilegi concessi nell'ambito del perseguimento penale si contrappongono al diritto alla vita. È pertanto necessario ponderare gli interessi al perseguimento penale e quelli che vi si oppongono. A prescindere dal diritto procedurale applicabile, nella procedura di autorizzazione sia all'accusato (privilegiato) che ai congiunti della vittima vanno riconosciuti i diritti di parte (consid. 2.2 e 2.3).</w:t>
      </w:r>
    </w:p>
    <w:p>
      <w:pPr>
        <w:pStyle w:val="Heading2"/>
      </w:pPr>
      <w:r>
        <w:t>Erwägungen</w:t>
      </w:r>
    </w:p>
    <w:p>
      <w:r>
        <w:rPr>
          <w:b/>
        </w:rPr>
        <w:t>E. 1</w:t>
      </w:r>
    </w:p>
    <w:p>
      <w:r>
        <w:t>Nach Art. 347 Abs. 2 lit. b StGB sind die Kantone berechtigt, die Strafverfolgung der Mitglieder ihrer obersten Vollziehungs- und Gerichtsbehörden wegen Vergehen oder Verbrechen im Amt vom Vorentscheid einer nicht richterlichen Behörde abhängig zu machen. Der Kanton Zürich hat von dieser Befugnis Gebrauch gemacht und lässt die Strafverfolgung der Mitglieder des Regierungsrates und der oberen Gerichte für amtliche Verrichtungen nur mit Ermächtigung des Kantonsrates zu (§ 38 Abs. 1 des Kantonsratsgesetzes vom 5. April 1981 [KRG; LS 171.1]). Das Ermächtigungsverfahren ist in § 38 Abs. 2-5 KRG allerdings höchst rudimentär geregelt. Zur Frage, nach welchen materiellen Kriterien die Ermächtigung zu erteilen oder zu verweigern ist, äussert sich das Gesetz nicht. Es ist indessen anerkannt, dass dabei nicht nur strafrechtliche Gesichtspunkte allein, sondern auch politische bzw. staatspolitische Überlegungen berücksichtigt werden dürfen ( BGE 106 IV 43 ; Urteil 1P.337/2002 vom 6. März 2003 E. 6.2, in: Pra 2003 Nr. 171). Dementsprechend BGE 135 I 113 S. 116 steht der Entscheid dem Kantonsrat als politischer Behörde zu. Insofern handelt es sich um eine öffentlich-rechtliche Angelegenheit, womit an sich die Beschwerde in öffentlich-rechtlichen Angelegenheiten gegeben wäre ( Art. 82 lit. a BGG ). Diese ist indessen gegen Entscheide über die Verweigerung der Ermächtigung zur Strafverfolgung gegen Behördemitglieder ausgeschlossen ( Art. 83 lit. e BGG ). Somit verbleibt einzig die subsidiäre Verfassungsbeschwerde, welche von der Strafrechtlichen Abteilung zu behandeln ist, da sie ein straf- bzw. strafprozessrechtliches Gebiet betrifft (Art. 33 des Reglements für das Bundesgericht vom 20. November 2006 [SR 173.110.131]). Da im Ermächtigungsverfahren aus (zureichenden) staatspolitischen Gründen die Ermächtigung zur Einleitung einer nach rein strafrechtlichen Kriterien angebrachten Strafuntersuchung verweigert werden kann, hat der angefochtene Entscheid überwiegend politischen Charakter. Entgegen der Auffassung der Beschwerdeführer ist der kantonale Gesetzgeber befugt, derartige Entscheide von der Rechtsweggarantie auszunehmen ( Art. 29a BV ; BBl 1997 I 524; ANDREAS KLEY, in: Die schweizerische Bundesverfassung, Kommentar, 2. Aufl. 2008, N. 24 zu Art. 29a BV ; GIOVANNI BIAGGINI, Bundesverfassung der Schweizerischen Eidgenossenschaft, Kommentar, 2007, N. 10 zu Art. 29a BV ). Aus Art. 2 EMRK (dazu unten E. 2) ergibt sich in Fällen, in denen dem staatlichen Funktionär wie hier nicht eine absichtliche Tötung vorgeworfen wird, nichts anderes. Der Staat kann seiner Aufklärungspflicht diesfalls auch ohne Einschaltung der Strafjustiz gerecht werden, etwa indem er den Hinterbliebenen entsprechende Zivil-, Verwaltungs- oder Disziplinarverfahren zur Verfügung stellt (Urteile des EGMR Mastromatteo gegen Italien vom 24. Oktober 2004, Recueil CourEDH 2002-VIII S. 123 § 90; Vo gegen Frankreich vom 8. Juli 2004, Recueil CourEDH 2004-VIII S. 1 § 90). Die Behandlung des Ermächtigungsverfahrens durch den Kantonsrat als nicht-gerichtliche Instanz ist damit auch unter diesem Gesichtspunkt konventionsrechtlich nicht zu beanstanden. Die Vorwürfe an Oberrichter Z. betreffen seine Amtsführung. Es geht nicht darum, ihn als Privatperson der strafrechtlichen Verfolgung zu entziehen. Das Ermächtigungsverfahren dient vielmehr dazu, ihn seine Amtstätigkeit vor ungerechtfertigten Angriffen unbehelligt ausführen zu lassen und so das reibungslose Funktionieren der Justiz als dritte Staatsgewalt zu gewährleisten. Der Umstand, dass der angefochtene Entscheid von einer politischen Behörde getroffen wurde, steht der Zulässigkeit der Beschwerde ans BGE 135 I 113 S. 117 Bundesgericht nicht entgegen ( Art. 114 BGG i.V.m. Art. 86 Abs. 2 und 3 BGG ).</w:t>
      </w:r>
    </w:p>
    <w:p>
      <w:r>
        <w:rPr>
          <w:b/>
        </w:rPr>
        <w:t>E. 2.1</w:t>
      </w:r>
    </w:p>
    <w:p>
      <w:r>
        <w:t>Art. 10 Abs. 1 BV gewährleistet den umfassenden Schutz menschlichen Lebens. Die Bestimmung richtet sich einerseits als Abwehrrecht gegen den Staat. Dieser ist indessen anderseits verpflichtet, den Grundrechten in der ganzen Rechtsordnung zum Durchbruch zu verhelfen und damit das Leben seiner Bürger auch vor Angriffen Privater zu schützen ( Art. 35 BV ). Er ist zwar weder verpflichtet noch in der Lage, Gewaltanwendungen unter Privaten gänzlich zu verhindern. Dem Gesetzgeber steht ein grosses Ermessen zu, wie er den Schutz seiner Bürger gewährleisten will. Er ist jedoch grundsätzlich gehalten, die Verletzungen des Rechts auf Leben durch vorsätzliche oder fahrlässige Tötungen mit strafrechtlichen Sanktionen zu belegen und eine effektive Strafverfolgung zu gewährleisten. Die Verpflichtung zur Aufklärung und Verfolgung von Tötungsdelikten ergibt sich ebenfalls aus Art. 2 Ziff. 1 EMRK . Sie gilt indessen nicht absolut. Bestehen sachliche Gründe, von der Verfolgung oder Bestrafung des Urhebers einer Tötung abzusehen, ist es dem Staat nicht verwehrt, die Interessen an der Verfolgung und Bestrafung des Täters und die entgegenstehenden z.B. staats- oder kriminalpolitischen Interessen gegeneinander abzuwägen und gegebenenfalls Letzteren zum Durchbruch zu verhelfen. Es ist etwa zulässig, aus besonderen Gründen ein Amnestiegesetz zu erlassen, das zur Folge hat, dass selbst ein Mord ungesühnt bleibt ( BGE 134 IV 297 E. 4.3.5 mit Hinweisen auf die Rechtsprechung der Strassburger Organe).</w:t>
      </w:r>
    </w:p>
    <w:p>
      <w:r>
        <w:rPr>
          <w:b/>
        </w:rPr>
        <w:t>E. 2.2</w:t>
      </w:r>
    </w:p>
    <w:p>
      <w:r>
        <w:t>Strafverfolgungsprivilegien wie Immunitäten von Parlamentariern und Magistratspersonen können somit in einem Spannungsverhältnis zu Art. 10 Abs. 1 BV und Art. 2 Ziff. 1 EMRK stehen, welche bei Tötungsdelikten die Verfolgung und Bestrafung der Täter grundsätzlich vorschreiben. Ausserhalb des Anwendungsbereichs dieser Bestimmungen können derartige Privilegien mit Art. 29a BV und Art. 6 EMRK in Konflikt treten, wobei zu beachten ist, dass die Rechtsweggarantie im Bereich des Strafrechts die Rechte des Beschuldigten, nicht diejenigen des Opfers oder seiner Angehörigen schützt. Damit können die Beschwerdeführer daraus nichts zu ihren Gunsten ableiten. Hingegen ergibt sich aus dem BGE 135 I 113 S. 118 verfassungs- und konventionsrechtlich garantierten Schutz des Lebens, dass der Staat das Strafverfolgungsprivileg des eines Tötungsdelikts Beschuldigten nicht ohne weiteres schützen darf, sondern dass er die Interessen an der Strafverfolgung und diejenigen an deren Verhinderung gegeneinander abzuwägen hat. In verfahrensrechtlicher Hinsicht folgt daraus, dass die Beschwerdeführer, die sich als nahe Angehörige des Opfers im Schutzbereich von Art. 10 Abs. 1 BV und Art. 2 Ziff. 1 EMRK befinden, am Verfahren, welches zum Entscheid über die Eröffnung eines Strafverfahrens gegen einen mit einem Strafverfolgungsprivileg ausgestatteten Beschuldigten führt, unabhängig vom einschlägigen Verfahrensrecht als Parteien beteiligt werden müssen. Damit stehen ihnen die verfassungs- und konventionsrechtlich garantierten Verfahrensrechte zu. Sie haben u.a. Anspruch auf rechtliches Gehör und einen begründeten Entscheid.</w:t>
      </w:r>
    </w:p>
    <w:p>
      <w:r>
        <w:rPr>
          <w:b/>
        </w:rPr>
        <w:t>E. 2.3</w:t>
      </w:r>
    </w:p>
    <w:p>
      <w:r>
        <w:t>Der Zürcher Kantonsrat hat im angefochtenen Entscheid die Natur des Ermächtigungsverfahrens als Abwägung zwischen den Interessen der Beschwerdeführer an der Verfolgung des von ihnen der fahrlässigen Tötung bezichtigten Oberrichters und denjenigen des Letzteren und des Kantons Zürich am reibungslosen Gang der Justiz verkannt. Er hat dementsprechend - durchaus im Einklang mit seiner Praxis und dem anwendbaren Verfahrensrecht - einzig Oberrichter Z. das rechtliche Gehör gewährt und auf eine Begründung seines Entscheids verzichtet. Das ist unhaltbar. Im Licht des verfassungs- und konventionsrechtlich garantierten Rechts auf Leben wäre der Kantonsrat verpflichtet gewesen, beiden Seiten die gleichen Parteirechte einzuräumen und seinen Entscheid zu begründen. Dies ist auch dem Kantonsrat als politischer Behörde ohne weiteres möglich und zumutbar, indem er den begründeten Antrag seiner Justizkommission oder einen begründeten Gegenantrag eines seiner Mitglieder annehmen und diesen damit samt Begründung zum Beschluss erheben würde (vgl. BGE 132 I 196 E. 3; BGE 131 I 18 E. 3.1 betreffend die Begründung von negativen Einbürgerungsentscheiden).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