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426</w:t>
      </w:r>
    </w:p>
    <w:p>
      <w:r>
        <w:t>Bundesgericht (BGE), 2009-01-01, DE</w:t>
      </w:r>
    </w:p>
    <w:p>
      <w:r>
        <w:rPr>
          <w:b/>
        </w:rPr>
        <w:t xml:space="preserve">Quelle: </w:t>
      </w:r>
      <w:r>
        <w:t>https://mcp.opencaselaw.ch/entscheid/bge_BGE_135_II_426</w:t>
      </w:r>
    </w:p>
    <w:p>
      <w:r>
        <w:t>FR: ATF 135 II 426</w:t>
      </w:r>
    </w:p>
    <w:p>
      <w:r>
        <w:t>IT: DTF 135 II 426</w:t>
      </w:r>
    </w:p>
    <w:p>
      <w:pPr>
        <w:pStyle w:val="Heading2"/>
      </w:pPr>
      <w:r>
        <w:t>Regeste</w:t>
      </w:r>
    </w:p>
    <w:p>
      <w:r>
        <w:t>Regeste Administrative Aufsicht des Bundesgerichts (Art. 1 Abs. 2 BGG); Prüfungsgegenstand. Eine unzulängliche Organisation oder Durchführung der Koordination der Rechtsprechung fällt in die aufsichtsrechtliche Kompetenz des Bundesgerichts, namentlich die Frage, ob die Rechtsprechung gemäss Geschäftsreglement durchgeführt wird und zweckmässig organisiert ist. Frage offengelassen, inwieweit die Einheitlichkeit der Rechtsprechung als solche Prüfungsgegenstand der Aufsichtsbeschwerde ans Bundesgericht sein kann (E. 4.2). Gegenstandslosigkeit der Aufsichtsbeschwerde, da das Bundesverwaltungsgericht den Mangel erkannt und das Koordinationsproblem gelöst hat (E. 4.2).</w:t>
      </w:r>
    </w:p>
    <w:p>
      <w:r>
        <w:t>Regeste Surveillance administrative exercée par le Tribunal fédéral (art. 1 al. 2 LTF); objet de la surveillance. Toute déficience en matière d'organisation ou de mise en oeuvre de la coordination de la jurisprudence, et en particulier la question de savoir si la jurisprudence est mise en oeuvre conformément au Règlement et organisée de manière efficace, relèvent de la compétence du Tribunal fédéral en matière de surveillance. Question laissée ouverte de savoir dans quelle mesure l'uniformité de la jurisprudence peut être examinée dans le cadre de la plainte au Tribunal fédéral (consid. 4.2). Le Tribunal administratif fédéral ayant identifié et résolu le problème de coordination, la plainte est devenue sans objet (consid. 4.2).</w:t>
      </w:r>
    </w:p>
    <w:p>
      <w:r>
        <w:t>Regesto Vigilanza amministrativa esercitata dal Tribunale federale (art. 1 cpv. 2 LTF); oggetto della vigilanza. Ogni carenza nell'organizzazione o nella realizzazione della coordinazione della giurisprudenza e in particolare la questione di sapere se la giurisprudenza è realizzata in conformità al Regolamento e organizzata in modo efficace rientra nella competenza del Tribunale federale in materia di vigilanza. Lasciato indeciso il tema di sapere in che misura l'uniformità della giurisprudenza può essere esaminata nel quadro della denuncia al Tribunale federale (consid. 4.2) La denuncia è stata dichiarata senza oggetto poiché il Tribunale amministrativo federale ha identificato e risolto il problema di coordinamento (consid. 4.2).</w:t>
      </w:r>
    </w:p>
    <w:p>
      <w:pPr>
        <w:pStyle w:val="Heading2"/>
      </w:pPr>
      <w:r>
        <w:t>Erwägungen</w:t>
      </w:r>
    </w:p>
    <w:p>
      <w:r>
        <w:rPr>
          <w:b/>
        </w:rPr>
        <w:t>E. 1</w:t>
      </w:r>
    </w:p>
    <w:p>
      <w:r>
        <w:t>Beim vorliegenden Verfahren handelt es sich um eine Aufsichtsanzeige im Sinne von Art. 1 Abs. 2 des Bundesgerichtsgesetzes (BGG; SR 173.110), Art. 3 lit. f des Aufsichtsreglements des Bundesgerichts (AufRBGer; SR 173.110.132) und Art. 3 Abs. 1 des Verwaltungsgerichtsgesetzes (VGG; SR 173.32) i.V.m. Art. 71 Abs. 1 des Bundesgesetzes über das Verwaltungsverfahren (VwVG; SR 172.021). Das Verfahren wird von Amtes wegen behördenintern durchgeführt und begründet keinen Anspruch auf Parteirechte ( Art. 71 Abs. 2 VwVG ; Art. 9 Abs. 2 AufRBGer ). Die Aufsicht des Bundesgerichts über das Bundesstraf- und das Bundesverwaltungsgericht ist administrativer Art; die Rechtsprechung ist von der Aufsicht ausgenommen ( Art. 2 Abs. 2 AufRBGer , Art. 3 Abs. 1 des Strafgerichtsgesetzes [SGG; SR 173.71], Art. 3 Abs. 1 VGG ). Aufsichtsanzeigen, welche sich in rein appellatorischer Kritik am beanstandeten Urteil erschöpfen, ist daher keine Folge zu geben. Der Aufsicht unterstehen hingegen alle Bereiche der Geschäftsführung, insbesondere die Gerichtsleitung, die Organisation, die Fallerledigung sowie das Personal- und Finanzwesen ( Art. 2 Abs. 1 AufRBGer ).</w:t>
      </w:r>
    </w:p>
    <w:p>
      <w:r>
        <w:rPr>
          <w:b/>
        </w:rPr>
        <w:t>E. 2</w:t>
      </w:r>
    </w:p>
    <w:p>
      <w:r>
        <w:t>In der Anzeige wird geltend gemacht, das Bundesverwaltungsgericht habe die beiden Verfahren in völlig unterschiedlicher Weise behandelt, insbesondere die Frage des rechtlichen Gehörs genau entgegengesetzt beurteilt. Dies obwohl in sämtlichen wesentlichen Punkten ein nahezu identischer Sachverhalt vorgelegen habe. Das Bundesverwaltungsgericht beantragt, auf die Aufsichtsanzeige nicht einzutreten, da sie sich in appellatorischer Kritik am von ihm gefällten Urteil D-1159/2009 erschöpfe.</w:t>
      </w:r>
    </w:p>
    <w:p>
      <w:r>
        <w:rPr>
          <w:b/>
        </w:rPr>
        <w:t>E. 3</w:t>
      </w:r>
    </w:p>
    <w:p>
      <w:r>
        <w:t>Den angezeigten Fällen lagen weitgehend identische Sachverhalte zweier Cousins zu Grunde. Das Bundesverwaltungsgericht wies die beiden Beschwerden zwei unterschiedlich besetzten Spruchkörpern in verschiedenen Kammern der Abteilung IV zu. Diese beantworteten die sich in beiden Fällen gleich stellende Frage, ob bei mit BGE 135 II 426 S. 429 exilpolitischen Tätigkeiten (subjektiven Nachfluchtgründen) begründeten zweiten Asylgesuchen eine persönliche Anhörung stattfinden muss, unterschiedlich: Während das Urteil D-1009/2009 vom 25. Februar 2009, Ziff. 5.4, auf die Rechtsprechung der ehemaligen Asylrekurskommission verweist, "welcher sich das Bundesverwaltungsgericht anschliesst", geht das andere - eine Woche später gefällte Urteil - auf diese Rechtsprechung nicht ein und beantwortet die Frage genau umgekehrt (Urteil D-1159/2009 vom 2. März 2009 S. 7 f.). Das Bundesverwaltungsgericht räumt in seiner Stellungnahme vom 12. August 2009 ein, die genannte Frage sei auch in mehreren weiteren Verfahren unterschiedlich behandelt und beantwortet worden.</w:t>
      </w:r>
    </w:p>
    <w:p>
      <w:r>
        <w:rPr>
          <w:b/>
        </w:rPr>
        <w:t>E. 4.1</w:t>
      </w:r>
    </w:p>
    <w:p>
      <w:r>
        <w:t>In seiner Rolle als Aufsichtsinstanz ist es dem Bundesgericht verwehrt, einen Einzelfall auf seine inhaltliche Richtigkeit zu überprüfen. Insoweit sich die vorliegende Aufsichtsbeschwerde ausschliesslich auf das Verfahren D-1159/2009 bezieht und an diesem Kritik äussert, fällt sie in den Bereich der Rechtsprechung und somit nicht in die aufsichtsrechtliche Kompetenz des Bundesgerichts.</w:t>
      </w:r>
    </w:p>
    <w:p>
      <w:r>
        <w:rPr>
          <w:b/>
        </w:rPr>
        <w:t>E. 4.2</w:t>
      </w:r>
    </w:p>
    <w:p>
      <w:r>
        <w:t>Vorliegend stellt sich indessen die über den Einzelfall hinausgehende Frage, ob die uneinheitliche Behandlung der beiden Verfahren eine unzulängliche Organisation oder Durchführung der Koordination der Rechtsprechung am Bundesverwaltungsgericht offenbart. Diese Frage fällt in die aufsichtsrechtliche Kompetenz des Bundesgerichts. Zwar liegt die Einheitlichkeit der Rechtsprechung im Grenzbereich zwischen Rechtsprechung und administrativer Aufsicht. Inwieweit die Einheitlichkeit der Rechtsprechung Prüfungsgegenstand der Aufsichtsbeschwerde ans Bundesgericht sein kann, kann vorliegend indessen offenbleiben (generell bejahend HEINRICH KOLLER, in: Basler Kommentar, Bundesgerichtsgesetz, 2008, N. 89 zu Art. 1 BGG ; zustimmend unter gewissen Voraussetzungen auch PAUL TSCHÜMPERLIN, Die Aufsicht des Bundesgerichts, SJZ 105/2009 Nr. 10 S. 233 ff., N. III. B.1 und IV. B). In den der Aufsicht des Bundesgerichts unterstehenden Bereich der Organisation und Geschäftsführung fällt nämlich jedenfalls die Frage, ob das Bundesverwaltungsgericht vorliegend die Rechtsprechung entsprechend seinem Geschäftsreglement (Art. 14 Abs. 2 lit. b des Geschäftsreglements für das Bundesverwaltungsgericht vom 17. April 2008 [VGR; SR 173.320.1]) durchgeführt und zweckmässig organisiert hat. In seiner Stellungnahme vom 12. August 2009 führt das Bundesverwaltungsgericht dazu aus, es habe bereits vor Kenntnisnahme der BGE 135 II 426 S. 430 vorliegenden Aufsichtsbeschwerde beim Bundesgericht erkannt, dass in der genannten Frage ein Koordinationsproblem bestehen könnte. Es habe daher unverzüglich Massnahmen zur Eruierung des allfälligen Koordinationsbedarfs getroffen und die zu koordinierenden Fragen mittels eines am 30. Juni 2009 von den beiden betroffenen Abteilungen verabschiedeten Arbeitspapiers gelöst. Zu beachten sei allerdings, dass die entsprechenden Fälle stets aufgrund der individuellen Umstände des Einzelfalles zu beurteilen seien. Aus den Ausführungen des Bundesverwaltungsgerichts geht somit hervor, dass es die Frage mittels des Art. 14 Abs. 2 lit. b VGR entsprechenden Koordinationsverfahrens in der Zwischenzeit ausführlich behandelt und offenbar einer Lösung zugeführt hat, soweit dies möglich ist. Das Aufsichtsverfahren ist insoweit gegenstandsos geworden. Ob in den beiden vorliegend angezeigten Fällen im Übrigen eine unterschiedliche Behandlung gerechtfertigt war, ist eine Ermessensfrage, welche das Bundesgericht in seiner Rolle als Aufsichtsbehörde nicht zu überprüfen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