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195</w:t>
      </w:r>
    </w:p>
    <w:p>
      <w:r>
        <w:t>Bundesgericht (BGE), 2009-02-16, DE</w:t>
      </w:r>
    </w:p>
    <w:p>
      <w:r>
        <w:rPr>
          <w:b/>
        </w:rPr>
        <w:t xml:space="preserve">Quelle: </w:t>
      </w:r>
      <w:r>
        <w:t>https://mcp.opencaselaw.ch/entscheid/bge_BGE_135_II_195</w:t>
      </w:r>
    </w:p>
    <w:p>
      <w:r>
        <w:t>FR: ATF 135 II 195</w:t>
      </w:r>
    </w:p>
    <w:p>
      <w:r>
        <w:t>IT: DTF 135 II 195</w:t>
      </w:r>
    </w:p>
    <w:p>
      <w:pPr>
        <w:pStyle w:val="Heading2"/>
      </w:pPr>
      <w:r>
        <w:t>Regeste</w:t>
      </w:r>
    </w:p>
    <w:p>
      <w:r>
        <w:t>Regeste Art. 22 Abs. 3, Art. 37, 38 DBG; Art. 7 Abs. 2, Art. 11 Abs. 2 und 3 StHG; Art. 2 Abs. 1, Art. 4 Abs. 1 DBA-NL; Besteuerung von Kapitalzahlungen aus dem Rückkauf von Leibrentenversicherungen im Rahmen der ungebundenen Selbstvorsorge (Säule 3b). Berechnung der Steuer nach Art. 37 oder 38 DBG? Grundsätze der Gesetzesauslegung. Kapitalzahlungen aus Rückkauf oder Ablösung von Leibrentenversicherungen sind vom übrigen Einkommen gesondert mit der Jahressteuer nach Art. 38 DBG zu erfassen (E. 6.1-6.3). Es besteht kein Grund, vom klaren Wortlaut des Art. 38 DBG abzuweichen und solche Kapitalzahlungen aus Leibrenten zusammen mit dem übrigen Einkommen nach Art. 37 DBG zu besteuern (E. 6.4-6.7). Eine mit resolutiver Bedingung verknüpfte Leibrente kann faktisch zu einer Zeitrente werden. Angesichts des Alters des Beschwerdeführers bei Vertragsschluss ist vorliegend auf eine Leibrente (nicht Zeitrente) zu schliessen. Besteuerung der laufenden Rentenleistungen zu 40 Prozent zusammen mit dem übrigen Einkommen nach Art. 37 DBG (E. 7.1). Steuerliche Behandlung von Kapitalleistungen aus einem Stammrechtsvertrag sowie einem Leibrentenvertrag: Besteuerung zu 40 Prozent mit der Jahressteuer nach Art. 38 DBG (E. 7.2). Das Staatsvertragsrecht steht dieser Besteuerung nicht entgegen (E. 8). Analoge Besteuerung von Kapitalabfindungen aus Leibrenten und Lebensversicherungen nach StHG (E. 9.1).</w:t>
      </w:r>
    </w:p>
    <w:p>
      <w:r>
        <w:t>Regeste Art. 22 al. 3, art. 37, 38 LIFD; art. 7 al. 2, art. 11 al. 2 et 3 LHID; art. 2 al. 1, art. 4 al. 1 CDI-NL; imposition de versements en capital provenant du rachat d'assurances de rentes viagères conclues dans le cadre de la prévoyance individuelle libre (pilier 3b). Calcul de l'impôt selon l'art. 37 ou 38 LIFD? Principes d'interprétation de la loi. Les versements en capital provenant du rachat ou de la résolution d'assurances de rentes viagères doivent être séparés des autres revenus et pris en compte comme impôt annuel au sens de l'art. 38 LIFD (consid. 6.1-6.3). Il n'y a pas de raison de s'écarter du texte clair de l'art. 38 LIFD et d'imposer de tels versements - qui résultent de rentes viagères - avec les autres revenus au sens de l'art. 37 LIFD (consid. 6.4-6.7). Une rente viagère liée à une clause résolutive peut, selon les circonstances, être assimilée à une rente certaine. En l'espèce, compte tenu de l'âge du recourant au moment de la conclusion du contrat, il faut qualifier la rente de viagère (et non de certaine). Imposition des rentes en cours avec les autres revenus au taux de 40 pour-cent conformément à l'art. 37 LIFD (consid. 7.1). Traitement fiscal des prestations en capital qui résultent d'un contrat garantissant des versements périodiques (Stammrechtsvertrag) ou d'un contrat de rentes viagères: imposition au taux de 40 pour-cent de l'impôt de rentes viagères: imposition au taux de 40 pour-cent de l'impôt annuel conformément à l'art. 38 LIFD (consid. 7.2). Le droit conventionnel ne s'oppose pas à une telle imposition (consid. 8). Imposition analogue des versements en capital provenant de rentes viagères ou d'assurances-vie selon la LHID (consid. 9.1).</w:t>
      </w:r>
    </w:p>
    <w:p>
      <w:r>
        <w:t>Regesto Art. 22 cpv. 3, art. 37, 38 LIFD; art. 7 cpv. 2, art. 11 cpv. 2 e 3 LAID; art. 2 cpv. 1, art. 4 cpv. 1 CDI-NL; imposizione di versamenti in capitale provenienti dal riscatto di assicurazioni di rendita vitalizia nel quadro della previdenza individuale libera (pilastro 3b). Calcolo dell'imposta secondo l'art. 37 o 38 LIFD? Principi d'interpretazione delle leggi. I versamenti in capitale provenienti dal riscatto o dall'estinzione di assicurazioni di rendita vitalizia devono essere imposti separatamente dagli altri redditi con un'imposta annua secondo l'art. 38 LIFD (consid. 6.1-6.3). Non vi è alcun motivo di distanziarsi dal chiaro tenore dell'art. 38 LIFD e di imporre tali versamenti in capitale provenienti da rendite vitalizie assieme agli altri proventi secondo l'art. 37 LIFD (consid. 6.4-6.7). Una rendita vitalizia abbinata ad una condizione risolutiva può di fatto diventare una rendita certa. Nel caso concreto, tenuto conto dell'età del ricorrente al momento della conclusione del contratto, la rendita va considerata come una rendita vitalizia (e non una rendita certa). Imposizione delle prestazioni correnti derivanti dalla rendita al tasso del 40 per cento assieme agli altri proventi secondo l'art. 37 LIFD (consid. 7.1). Trattamento fiscale di prestazioni in capitale derivanti da un contratto che garantisce versamenti periodici (Stammrechtsvertrag) nonché da un contratto di rendita vitalizia: imposizione al tasso del 40 per cento con l'imposta annua secondo l'art. 38 LIFD (consid. 7.2). Il diritto convenzionale non si oppone a tale modo d'imposizione (consid. 8). Imposizione analoga delle liquidazioni in capitale derivanti da rendite vitalizie e da assicurazioni sulla vita secondo la LAID (consid. 9.1).</w:t>
      </w:r>
    </w:p>
    <w:p>
      <w:pPr>
        <w:pStyle w:val="Heading2"/>
      </w:pPr>
      <w:r>
        <w:t>Erwägungen</w:t>
      </w:r>
    </w:p>
    <w:p>
      <w:r>
        <w:rPr>
          <w:b/>
        </w:rPr>
        <w:t>E. 3</w:t>
      </w:r>
    </w:p>
    <w:p>
      <w:r>
        <w:t>Umstritten ist zum einen die Besteuerung der monatlichen Rentenzahlungen der P. Holding B.V., welche die Veranlagungsbehörde und die Vorinstanz als Einkommen aus Leibrente pauschal zu 40 Prozent erfasst haben ( Art. 22 Abs. 3 DBG ). Die Beschwerdeführer wenden ein, es handle sich um eine Zeitrente, die nur mit ihrer Zinsquote (Ertragsquote) der Einkommenssteuer unterliege. In Frage steht zum anderen die Besteuerung der Kapitalzahlungen der A. B.V. aus der Ablösung des Leibrentenvertrags und des BGE 135 II 195 S. 198 Stammrechtsvertrags zu 40 Prozent zusammen mit dem übrigen Einkommen zum Rentensatz gemäss Art. 22 Abs. 3 und Art. 37 DBG . Die Beschwerdeführer sind der Ansicht, es handle sich um Kapitalleistungen aus Vorsorge, welche getrennt vom übrigen Einkommen mit der Jahressteuer zu einem Fünftel des ordentlichen Tarifs gemäss Art. 38 DBG zu erfassen seien.</w:t>
      </w:r>
    </w:p>
    <w:p>
      <w:r>
        <w:rPr>
          <w:b/>
        </w:rPr>
        <w:t>E. 4</w:t>
      </w:r>
    </w:p>
    <w:p>
      <w:r>
        <w:t>(vgl. hiervor BGE 135 II 183 E. 3)</w:t>
      </w:r>
    </w:p>
    <w:p>
      <w:r>
        <w:rPr>
          <w:b/>
        </w:rPr>
        <w:t>E. 5</w:t>
      </w:r>
    </w:p>
    <w:p>
      <w:r>
        <w:t>(vgl. hiervor BGE 135 II 183 E. 4)</w:t>
      </w:r>
    </w:p>
    <w:p>
      <w:r>
        <w:rPr>
          <w:b/>
        </w:rPr>
        <w:t>E. 6.1</w:t>
      </w:r>
    </w:p>
    <w:p>
      <w:r>
        <w:t>Zu prüfen bleibt, ob die Kapitalzahlungen aus Leibrenten nach Art. 37 oder 38 DBG zu besteuern sind. Gemäss Art. 37 DBG sind Kapitalabfindungen für wiederkehrende Leistungen unter Berücksichtigung der übrigen Einkünfte und der zulässigen Abzüge zu dem Steuersatz zu berechnen, der sich ergäbe, wenn anstelle der einmaligen Leistung eine entsprechende jährliche Leistung ausgerichtet würde. Art. 38 DBG erfasst demgegenüber "Kapitalleistungen nach Artikel 22 [DBG] sowie Zahlungen bei Tod und für bleibende körperliche oder gesundheitliche Nachteile". Sie werden nach dieser Bestimmung gesondert besteuert. Sie unterliegen stets einer vollen Jahressteuer. Die Steuer wird dabei zu einem Fünftel des ordentlichen Tarifs nach Art. 36 (oder 214) DBG berechnet. Nach Ansicht der Vorinstanz, welche sich der Betrachtungsweise der kantonalen Steuerverwaltung und einer Empfehlung der Schweizerischen Steuerkonferenz vom 7. März 2006 angeschlossen hat, kann die Kapitalzahlung beim Rückkauf einer Leibrentenversicherung - im Unterschied zur Rückgewährleistung im Todesfall - nicht als Kapitalleistung aus Vorsorge qualifiziert werden, welche die Anwendung des Vorsorgetarifs gemäss Art. 38 DBG rechtfertigen würde. Kapitalabfindungen beim Rückkauf träten an die Stelle der periodisch geschuldeten Rentenleistungen und seien daher nach Art. 37 DGB zusammen mit dem übrigen Einkommen zum Rentensatz zu erfassen.</w:t>
      </w:r>
    </w:p>
    <w:p>
      <w:r>
        <w:rPr>
          <w:b/>
        </w:rPr>
        <w:t>E. 6.2</w:t>
      </w:r>
    </w:p>
    <w:p>
      <w:r>
        <w:t>Das Gesetz ist in erster Linie nach seinem Wortlaut auszulegen. Ist der Wortlaut einer Bestimmung klar, erübrigt es sich, für die Bedeutung und Tragweite der Norm auf weitere Auslegungselemente zurückzugreifen. Ist der Text nicht ganz klar, so ist nach seiner wahren Tragweite zu suchen unter Berücksichtigung aller Auslegungselemente. Vom klaren, d.h. eindeutigen und unmissverständlichen Wortlaut darf nur ausnahmsweise abgewichen werden, BGE 135 II 195 S. 199 nämlich dann, wenn anzunehmen ist, dass der Wortlaut nicht den wahren Sinn der Bestimmung wiedergibt. Solche Gründe können sich insbesondere aus der Entstehungsgeschichte der Norm, aus ihrem Grund und Zweck oder aus dem Zusammenhang mit anderen Vorschriften ergeben ( BGE 133 III 257 E. 2.4, BGE 133 III 497 E. 4.1; BGE 133 V 593 E. 5; BGE 130 V 49 E. 3.2.1 S. 50 mit weiteren Hinweisen).</w:t>
      </w:r>
    </w:p>
    <w:p>
      <w:r>
        <w:rPr>
          <w:b/>
        </w:rPr>
        <w:t>E. 6.3</w:t>
      </w:r>
    </w:p>
    <w:p>
      <w:r>
        <w:t>Der Wortlaut von Art. 38 DBG ist klar. Nach Absatz 1 werden gesondert besteuert (u.a.) die "Kapitalleistungen nach Artikel 22 (DBG)". Es handelt sich um die "Einkünfte aus Vorsorge" (vgl. Titel vor Art. 22 DBG ), mithin Leistungen, die auf der Dreisäulenkonzeption beruhen (RICHNER/FREI/KAUFMANN, Handkommentar zum DBG, 2003, N. 1 und 4 zu Art. 22 DBG ). Die freie Selbstvorsorge (Säule 3b) ist teilweise - hinsichtlich der Leibrenten und Einkünfte aus Verpfründung - in Absatz 3 von Art. 22 DBG geregelt. Darunter fallen nach der Rechtsprechung nicht nur die wiederkehrenden Leistungen aus Leibrentenversprechen und Lebensversicherungen einschliesslich die Rückgewähr, wenn der Versicherte früher verstirbt, sondern auch die Kapitalleistungen aus dem Rückkauf solcher Verträge (Urteil 2A.40/1998 vom 10. August 1998, in: StE 1999 B 28 Nr. 6, zu Art. 21 bis Abs. 3 BdBSt ). Es findet auf diese Leistungen klarerweise Art. 38 DBG (und nicht Art. 37 DBG ) Anwendung. Die Kapitalleistung aus Leibrente ist zu 40 Prozent zu versteuern, wobei die Steuer zu einem Fünftel der Tarife nach Art. 36 DBG berechnet wird. Das entspricht im Übrigen auch der herrschenden Meinung in der Lehre (AGNER/JUNG/STEINMANN, Kommentar zum Gesetz über die direkte Bundessteuer, 1995, N. 1 zu Art. 38 DBG ; AGNER/DIGERONIMO/NEUHAUS/STEINMANN, Kommentar zum Gesetz über die direkte Bundessteuer, Ergänzungsband, 2000, S. 141 N. 1b zu Art. 38 DBG ; JUNGO/MAUTE, Lebensversicherungen und Steuern, Ein Leitfaden für den Praktiker, 2003, S. 69 [für Rückkauf während der Aufschubszeit]; GLADYS LAFFELY MAILLARD, in: Commentaire romand, Impôt fédéral direct, 2008, N. 3 zu Art. 38 DBG ; PETER LOCHER, Kommentar zum DBG [im Folgenden: Kommentar], 2001, N. 5 zu Art. 38 DBG ; RICHNER/FREI/KAUFMANN, a.a.O., N. 8 zu Art. 38 DBG ; LINDA PETER-SZERENYI, Der Begriff der Vorsorge im Steuerrecht, 2001, S. 337; a.M. AMSCHWAND-PILLOUD/JUNGO/MAUTE, Assurances-vie et impôts, Guide pratique, 2005, S. 65 f., 167).</w:t>
      </w:r>
    </w:p>
    <w:p>
      <w:r>
        <w:rPr>
          <w:b/>
        </w:rPr>
        <w:t>E. 6.4</w:t>
      </w:r>
    </w:p>
    <w:p>
      <w:r>
        <w:t>Angesichts des klaren Wortlauts kann sich nur fragen, ob Gründe bestehen, davon abzuweichen. Solche Gründe können sich wie erwähnt aus dem Sinn und Zweck der Norm, der BGE 135 II 195 S. 200 Gesetzessystematik oder auch aus der Entstehungsgeschichte der Norm ergeben. Derartige Gründe macht die kantonale Steuerverwaltung geltend. Sie beruft sich auf die Materialien und die Gesetzessystematik und führt aus, es liege ein gesetzgeberisches Versehen vor. Die Botschaft vom 25. Mai 1983 über die Harmonisierung der direkten Steuern der Kantone und Gemeinden sowie über die direkte Bundessteuer (BBl 1983 III 1 ff.) behandelte - entsprechend der Dreisäulenkonzeption - die eidgenössische Alters-, Hinterlassenen- und Invalidenversicherung, die berufliche Vorsorge sowie die gebundene und die nicht gebundene Selbstvorsorge einschliesslich die Leibrenten- und Verpfründungsverträge. In den Entwürfen zu den harmonisierten Steuergesetzen (E-DBG, E-StHG) stellte der Bundesrat die volle Besteuerung der Vorsorgeleistungen (Art. 8 Abs. 1 E-StHG, Art. 22 Abs. 1 E-DBG) der vollen Abzugsfähigkeit der Einlagen, Prämien und anderen Beiträge zum Erwerb von Ansprüchen aus Vorsorge (Art. 10 Abs. 2 lit. d E-StHG, Art. 33 Abs. 1 lit. d E-DBG) gegenüber (Botschaft, a.a.O., S. 35 Ziff. 143, S. 90 ad Art. 8 E-StHG, S. 165 ad Art. 22 E-DBG). Für Kapitalleistungen nach Art. 22 E-DBG sah Art. 38 E-DBG (Art. 12 Abs. 4 E-StHG) eine vom übrigen Einkommen gesonderte Besteuerung (Jahressteuer) vor, wobei die Steuer zum Satz berechnet wird, der sich ergäbe, wenn anstelle der einmaligen Leistung eine entsprechende jährliche Leistung ausgerichtet würde. Es handelt sich um den sog. Rentensatz (Botschaft, a.a.O., S. 177 ad Art. 38 E-DBG, S. 98 ad Art. 12 Abs. 4 E-StHG). Die Jahressteuer nach Art. 38 E-DBG sollte auch die Kapitalabfindungen aus Leibrenten erfassen, wie aus der Botschaft über die Steuerharmonisierung hervorgeht (Botschaft, a.a.O., S. 165 ad Art. 22 E-DBG). Der Verweis in Art. 38 Abs. 1 auf Art. 22 Abs. 1 E-DBG war somit umfassend zu verstehen. Er erstreckte sich nach dem klaren Wortlaut von Art. 22 Abs. 1 E-DBG auch auf "Einkünfte (...) aus Leibrenten- und Verpfründungsverträgen, mit Einschluss von Kapitalabfindungen und Rückzahlungen von Einlagen, Prämien und Beiträgen".</w:t>
      </w:r>
    </w:p>
    <w:p>
      <w:r>
        <w:rPr>
          <w:b/>
        </w:rPr>
        <w:t>E. 6.5</w:t>
      </w:r>
    </w:p>
    <w:p>
      <w:r>
        <w:t>Die volle Besteuerung der Einkünfte aus Leibrenten- und Verpfründungsgeschäften unter gleichzeitiger voller Abzugsfähigkeit der geleisteten Prämien, Einlagen usw. wurde in Fachkreisen indessen nicht als sachgerecht betrachtet, weil bei den Leibrenten- und Verpfründungsgeschäften, wie sie namentlich in der Landwirtschaft und im Gewerbe bei der Abtretung oder Übertragung von Betrieben BGE 135 II 195 S. 201 geschlossen werden, einmalige Entschädigungen für den Einkauf der Vorsorgeleistungen selten voll vom Einkommen abgezogen werden können. Es wurde daher vorgeschlagen, für diesen Bereich der privaten Vorsorge die Rentenleistungen nur insoweit zu besteuern, als die dafür aufgewendeten Mittel steuerlich zum Abzug gelangten (ZUPPINGER/BÖCKLI/LOCHER/REICH, Steuerharmonisierung, 1984, S. 87). In der Folge löste der Gesetzgeber die Einkünfte aus Leibrenten und Verpfründung aus Art. 22 Abs. 1 E-DBG und Art. 8 Abs. 1 E-StHG heraus und sah für diese je in einem neuen Absatz die reduzierte Besteuerung von (damals) 60 Prozent vor (vgl. AB 1986 S 133 und 178). Diese Lösung wurde von der Eidgenössischen Steuerverwaltung vorgeschlagen (AB 1986 S 179 Votum Binder, Berichterstatter). Bezüglich der Besteuerung von Kapitalleistungen aus Vorsorge nach Art. 22 E-DBG hielt der Gesetzgeber an der vom Bundesrat vorgeschlagenen Jahressteuer (Art. 38 E-DBG, Art. 12 Abs. 4 E-StHG) jedoch fest. Er hielt lediglich den Rentensatz (Berechnung des satzbestimmenden Einkommens anhand der weggefallenen jährlichen Rentenleistung, Art. 38 Abs. 2 E-DBG und Art. 12 Abs. 4 E-StHG) wegen des Progressionsverlaufs bei der direkten Bundessteuer für die Jahressteuer als unangemessen (vgl. AB 1988 N 21, Votum Reichling, Berichterstatter; AB 1988 S 826, Voten Reichmuth, Berichterstatter, und Bundespräsident Stich) und setzte auf Antrag der Kommission stattdessen die Jahressteuer auf einen Fünftel des ordentlichen Tarifs fest (Art. 36 E-DBG). In Art. 12 Abs. 4 E-StHG wurde der Rentensatz ebenfalls aufgegeben. Diese Regelung bezog sich aber weiterhin auf alle aus Vorsorge nach Art. 22 E-DBG fliessenden Kapitalabfindungen, mithin auch auf solche aus Leibrentenversprechen und Verpfründung. Art. 12 Abs. 4 E-StHG (jetzt Art. 11 Abs. 3 des Bundesgesetzes vom 14. Dezember 1990 über die Harmonisierung der direkten Steuern der Kantone und Gemeinden [StHG; SR 642.14] ) spricht zwar hinsichtlich der Jahressteuer für die kantonalen Steuern nur von den "Kapitalleistungen aus Vorsorgeeinrichtungen". Eine unterschiedliche Besteuerung der Säulen 3a und 3b bei der direkten Bundessteuer und den kantonalen Steuern war damit offensichtlich nicht bezweckt. Die Entwürfe des StHG zählen zur Vorsorge insbesondere auch die Leibrenten- und Verpfründungsverträge als Formen der nicht gebundenen Selbstvorsorge (Botschaft, a.a.O., S. 35 Ziff. 143). BGE 135 II 195 S. 202 Weder der Botschaft über die Steuerharmonisierung noch den parlamentarischen Beratungen (AB 1986 S 140 ad Art. 12 Abs. 3 und 4 E-StHG; AB 1989 N 41 ad Art. 12 Abs. 3 und 4 E-StHG) ist zu entnehmen, dass für die Besteuerung von Kapitalabfindungen aus Leibrenten gemäss dem DBG oder dem StHG eine unterschiedliche Ordnung gelten soll. So etwas liesse sich mit dem Harmonisierungsauftrag ( Art. 129 BV ) auch kaum vereinbaren.</w:t>
      </w:r>
    </w:p>
    <w:p>
      <w:r>
        <w:rPr>
          <w:b/>
        </w:rPr>
        <w:t>E. 6.6</w:t>
      </w:r>
    </w:p>
    <w:p>
      <w:r>
        <w:t>Im Rahmen des Bundesgesetzes vom 19. März 1999 über das Stabilisierungsprogramm 1998 wurden die Art. 22 Abs. 3 DBG und 7 Abs. 1 StHG dahingehend geändert, dass Leibrenten sowie Einkünfte aus Verpfründung zu 40 Prozent (statt 60 Prozent bisher) steuerbar sind (AS 1999 2374, 2368). Hinsichtlich der Besteuerung der Kapitalleistungen aus Vorsorge ergab sich jedoch keine Änderung.</w:t>
      </w:r>
    </w:p>
    <w:p>
      <w:r>
        <w:rPr>
          <w:b/>
        </w:rPr>
        <w:t>E. 6.7</w:t>
      </w:r>
    </w:p>
    <w:p>
      <w:r>
        <w:t>Diese Entstehungsgeschichte zeigt, dass Leibrenten und Verpfründungsverträge deshalb einer reduzierten Besteuerung (von damals 60 Prozent; Art. 22 Abs. 3 DBG , Art. 7 Abs. 2 StHG ) zugeführt wurden, weil die Prämien und Einlagen praktisch nicht zum Abzug zugelassen werden. Die dieser Regelung zugrunde liegende Überlegung gilt heute noch. Andererseits hat der Gesetzgeber die Periodisierung der Steuerberechnung (Rentensatz) gemäss Art. 38 Abs. 2 E-DBG zugunsten des auf einen Fünftel des ordentlichen Steuersatzes reduzierten Steuersatzes ( Art. 38 Abs. 2 DBG ) ersetzt, um der Progressionswirkung der Steuer Rechnung zu tragen, und am Rentensatz auch für die Jahressteuer für die kantonalen Steuern (Art. 12 Abs. 4 E-StHG) nicht festgehalten (jetzt Art. 11 Abs. 2 StHG ). Den beiden Massnahmen liegt somit je eine eigenständige Zwecksetzung zugrunde. Die erste Massnahme trägt der spezifischen Situation bei Leibrenten und Verpfründung Rechnung. Die zweite Massnahme zielt auf alle Kapitalabfindungen aus Vorsorge ab. Es ist kein Grund ersichtlich, Kapitalabfindungen aus Leibrente und Verpfründung hinsichtlich der Jahressteuer anders zu behandeln als Kapitalabfindungen aus anderen Formen der Vorsorge. Ein "Versehen" des Gesetzgebers, wie es die kantonale Steuerverwaltung geltend macht, ist nicht zu erkennen. Die vom Gesetzgeber vorgesehene Besteuerung vermag zwar Über- oder Unterbesteuerungen nicht zu vermeiden. Sie ist jedoch vom Gesetzgeber klar gewollt und durch die Behörden anzuwenden. Es besteht kein Grund, vom an sich klaren Wortlaut von Art. 38 Abs. 1 DBG abzuweichen. BGE 135 II 195 S. 203</w:t>
      </w:r>
    </w:p>
    <w:p>
      <w:r>
        <w:rPr>
          <w:b/>
        </w:rPr>
        <w:t>E. 7</w:t>
      </w:r>
    </w:p>
    <w:p>
      <w:r>
        <w:t>Der Beschwerdeführer (Jahrgang 1942) hatte sowohl mit der P. Holding B.V. mit Sitz in D./NL wie auch mit der A. B.V. mit Sitz in A./NL Verträge mit Vorsorgecharakter abgeschlossen.</w:t>
      </w:r>
    </w:p>
    <w:p>
      <w:r>
        <w:rPr>
          <w:b/>
        </w:rPr>
        <w:t>E. 7.1</w:t>
      </w:r>
    </w:p>
    <w:p>
      <w:r>
        <w:t>P. Holding B.V.</w:t>
      </w:r>
    </w:p>
    <w:p>
      <w:r>
        <w:rPr>
          <w:b/>
        </w:rPr>
        <w:t>E. 7.1.1</w:t>
      </w:r>
    </w:p>
    <w:p>
      <w:r>
        <w:t>Der Beschwerdeführer war Inhaber einer Gesellschaft mit beschränkter Haftung, die er im Jahre 1997 an die P. Holding B.V. veräusserte. Mit Anrechnung auf den Kaufpreis räumte die Käuferin dem Beschwerdeführer mit Stammrechtsvertrag ("Stamrechtovereenkomst") vom 30. Juni 1997 zwei Stammrechte ein: Für Hfl. 630'000.- ein sofort eingehendes Stammrecht ("direct ingaand stamrecht") mit jährlichen Auszahlung von Hfl. 50'000.-. Dieses war auf das Leben gestellt und lief bis längstens am 1. März 2004. Es steht hier nicht mehr in Frage. Für Hfl. 945'000.- wurde ein aufgeschobenes lebenslängliches Stammrecht ("uitgesteld levenslang stamrecht") begründet. Bezüglich diesem gilt, dass die Käuferin (Rentenschuldnerin) dem Beschwerdeführer ab 1. März 2004 zu Lasten des aufgebauten Kapitals jährlich maximal Hfl. 200'000.- auszahlt. Das aufgebaute Kapital wird um die Auszahlungen vermindert und weiterhin verzinst. Am 1. März 2004 wurde der Stammrechtsvertrag ergänzt und eine Auszahlung von monatlich EUR 5'000.- (jährlich EUR 60'000.-) vereinbart. Die Auszahlungen sollen mit dem Tod des Beschwerdeführers oder ausdrücklich auch dann enden, wenn das reservierte Kapital samt Zinsen aufgebraucht ist. Die P. Holding B.V. verbuchte jeweils den Stand der Stammrechtsverpflichtung, erhöhte diese um den Zins und zog die Auszahlungen von jährlich EUR 60'000.- ab, was per 31. Dezember 2004 einen Stand von EUR 278'122.- ergab. Nach der unwidersprochenen Schätzung des Beschwerdeführers dürfte das Kapital Ende 2010 aufgebraucht sein.</w:t>
      </w:r>
    </w:p>
    <w:p>
      <w:r>
        <w:rPr>
          <w:b/>
        </w:rPr>
        <w:t>E. 7.1.2</w:t>
      </w:r>
    </w:p>
    <w:p>
      <w:r>
        <w:t>Diese Vereinbarung enthält alle Merkmale eines Leibrentenvertrages. Die Rentenverpflichtung endet, wenn der Beschwerdeführer stirbt oder wenn das Kapital aufgebraucht ist. Das Kapital fällt somit auch dann der Rentenschuldnerin zu, wenn es noch nicht aufgebraucht ist. Das Leibrentenversprechen ist notwendigerweise auf das Leben einer Person gestellt. Eine Befristung der Rente wäre mit dem aleatorischen Charakter der Leibrente unvereinbar. Hingegen ist es nicht ausgeschlossen, dass die Leibrente nebst der Lebenszeit eine zweite Begrenzung in Form einer resolutiven Bedingung erfährt (MARC SCHAETZLE, Berner Kommentar, 2. Aufl. 1978, BGE 135 II 195 S. 204 N. 48 zu Art. 516 OR ; OSER/SCHÖNENBERGER, Zürcher Kommentar, 2. Aufl. 1945, N. 2 zu Art. 516 OR ). Das ist auch in der Steuerrechtsdoktrin anerkannt. Insofern deckt sich der steuerrechtliche Begriff der Leibrente mit dem zivilrechtlichen (RICHNER/FREI/KAUFMANN, a.a.O., N. 13 und 46 zu Art. 22 DBG ; AGNER/DIGERONIMO/NEUHAUS/STEINMANN, a.a.O., N. 5a zu Art. 22 DBG S. 96). Die Rentenzahlungen sind sowohl nach dem Vertrag von 1997 wie auch gemäss der Vertragsergänzung 2004 auf das Leben des Beschwerdeführers gestellt. Dass die Ergänzung von 2004 als weitere auflösende Bedingung den Verbrauch des Kapitals erwähnt, ist zulässig. Die Rentenverpflichtung hört auf jeden Fall mit dem Tod des Beschwerdeführers auf, und das noch vorhandene Kapital verfällt.</w:t>
      </w:r>
    </w:p>
    <w:p>
      <w:r>
        <w:rPr>
          <w:b/>
        </w:rPr>
        <w:t>E. 7.1.3</w:t>
      </w:r>
    </w:p>
    <w:p>
      <w:r>
        <w:t>Freilich kann die anderweitig mit resolutiver Bedingung verknüpfte Leibrente faktisch auch zur Zeitrente werden (AGNER/DIGERONIMO/NEUHAUS/STEINMANN, a.a.O., N. 5a zu Art. 22 DBG S. 96; LOCHER, Kommentar, N. 51 zu Art. 22 DBG ). Einen solchen Fall behauptet der Beschwerdeführer. Er wendet ein, dass sein Tod als der weniger wahrscheinliche Beendigungsgrund zu betrachten gewesen sei als der Verbrauch des Kapitals voraussichtlich Ende 2010. Es sei daher von einer Zeitrente auszugehen, welche lediglich mit der Zinsquote als Vermögensertrag ( Art. 20 Abs. 1 lit. a DBG ) der Steuer unterliege. Wie bereits erwähnt (vgl. nicht publ. E. 4.2) sind Zeitrenten periodisch wiederkehrende, zeitlich nicht beschränkte und nicht auf das Leben der Person gestellte Zahlungen (Urteil 2C_596/2007 vom 24. Juni 2008 E. 3.4, in: RDAF 2008 II S. 390). Auch sie werden durch den Versicherungsnehmer geäufnet. Es handelt sich um die periodische, ratenweise Rückzahlung eines Kapitals, welches verzinst wird. Zeitrenten stellen daher eine Sonderform von Kapitalzahlungen dar und sind nur mit ihrem Ertrags- oder Zinsanteil steuerbar ( Art. 20 Abs. 1 lit. a DBG ). Sie sind völlig steuerfrei, sofern es sich um rückkaufsfähige, der Vorsorge dienende Kapitalversicherungen handelt ( Art. 24 lit. b DBG ). Um von einer Zeitrente zu sprechen, muss aber das aleatorische Element der Lebenszeit gegenüber der resolutiven Bedingung deutlich in den Hintergrund treten. Aufgrund der beiden Vereinbarungen von 1997 und 2004 ist das hier nicht der Fall. Gemäss der Vereinbarung von 1997 war das aufgeschobene Stammrecht damals einzig an die Lebenszeit geknüpft und begann die Rente erst am 1. März 2004 zu laufen. Zudem war BGE 135 II 195 S. 205 vorgesehen, dass bis zu diesem Zeitpunkt die auszuzahlenden Rentenbetreffnisse festgelegt werden. Deshalb musste die genannte Zusatzvereinbarung vom 1. März 2004 geschlossen werden. Darin wurden die monatlichen Renten auf "mindestens" EUR 5'000.- (EUR 60'000.- pro Jahr) festgelegt. In Anbetracht der Höhe dieser Rente war klar, dass sich die Rentenschuldnerin absichern musste. Daher wurde die Laufzeit der periodischen Zahlungen an die zweite Bedingung geknüpft, dass das Kapital einschliesslich der aufgezinsten Kapitalerträge noch nicht aufgebraucht sei. Mit Rücksicht auf das Alter des Beschwerdeführers kann diese Rente nicht als eine reine Überbrückungsrente bezeichnet werden. Das war sie weder vor noch nach der Zusatzvereinbarung vom 1. März 2004. Am 24. Februar 2004 hatte der Beschwerdeführer sein 62. Lebensjahr vollendet. Er wird Ende 2010 im 67. Altersjahr stehen. Dass in dieser Zeitspanne die Lebenszeit eine wesentliche Rolle spielt, ist unter diesen Umständen nicht ernsthaft zu bestreiten. Von einer "faktischen Zeitrente" kann folglich nicht die Rede sein.</w:t>
      </w:r>
    </w:p>
    <w:p>
      <w:r>
        <w:rPr>
          <w:b/>
        </w:rPr>
        <w:t>E. 7.1.4</w:t>
      </w:r>
    </w:p>
    <w:p>
      <w:r>
        <w:t>Die jährlich zur Auszahlung gelangende Rente unterliegt daher nach dem Gesagten zu 40 Prozent der Einkommenssteuer nach Art. 22 Abs. 3 DBG . Die Besteuerung erfolgt im Rahmen der ordentlichen Veranlagung. Nur Kapitalabfindungen und -leistungen unterliegen der besonderen Jahressteuer. Der angefochtene Entscheid, der diese Besteuerung bestätigt, ist nicht zu beanstanden.</w:t>
      </w:r>
    </w:p>
    <w:p>
      <w:r>
        <w:rPr>
          <w:b/>
        </w:rPr>
        <w:t>E. 7.2</w:t>
      </w:r>
    </w:p>
    <w:p>
      <w:r>
        <w:t>A. B.V.</w:t>
      </w:r>
    </w:p>
    <w:p>
      <w:r>
        <w:rPr>
          <w:b/>
        </w:rPr>
        <w:t>E. 7.2.1</w:t>
      </w:r>
    </w:p>
    <w:p>
      <w:r>
        <w:t>Mit der A. B.V. hatte der Beschwerdeführer einen Stammrechtsvertrag sowie einen Leibrentenvertrag abgeschlossen. Der Stammrechtsvertrag datiert aus dem Jahre 2000 und enthält die Verpflichtung, dem Beschwerdeführer eine lebenslängliche Rente von jährlich EUR 22'689.- zu bezahlen. Gemäss dem Leibrentenvertrag schuldete die Gesellschaft eine vom 1. März 2007 bis 1. März 2017 laufende jährliche Rente von EUR 30'548.-. Im Jahre 2004 wurde die A. B.V. liquidiert. Zur Abgeltung seiner Ansprüche erhielt der Beschwerdeführer aus dem Stammrechtsvertrag eine einmalige Zahlung von EUR 356'056.- und aus dem Leibrentenvertrag eine solche von EUR 228'306.-.</w:t>
      </w:r>
    </w:p>
    <w:p>
      <w:r>
        <w:rPr>
          <w:b/>
        </w:rPr>
        <w:t>E. 7.2.2</w:t>
      </w:r>
    </w:p>
    <w:p>
      <w:r>
        <w:t>Im kantonalen Verfahren machte der Beschwerdeführer noch geltend, dass es sich um "Zeitrenten" bzw. um "temporäre" oder "abgekürzte" Leibrenten gehandelt habe, welche lediglich der Kapitalanlage dienten und nur mit ihrem Ertrag steuerbar seien. BGE 135 II 195 S. 206 Diesen Standpunkt hat der Beschwerdeführer aufgegeben. Es ist nicht mehr bestritten, dass es sich bei diesen beiden Verträgen um Leibrentenverpflichtungen handelt. In der Tat lässt sich dem Finanzbericht 2004 der A. B.V., wo die beiden Leibrentenverpflichtungen ("Lijfrenteverzekering", "Stamrechtverpflichting") und auch die beiden Kapitalleistungen erwähnt sind, nichts entnehmen, wonach es lediglich darum ginge, ein Kapital samt Zins zurückzuzahlen. Es ist vielmehr auch hier von Leibrentenverträgen auszugehen. Der Beschwerdeführer wendet aber ein, es handle sich um "Kapitalleistungen aus Vorsorge". Solche Leistungen seien nach Art. 38 DBG vom übrigen Einkommen gesondert und lediglich zu einem Fünftel der Tarife nach Art. 36 DBG zu besteuern.</w:t>
      </w:r>
    </w:p>
    <w:p>
      <w:r>
        <w:rPr>
          <w:b/>
        </w:rPr>
        <w:t>E. 7.2.3</w:t>
      </w:r>
    </w:p>
    <w:p>
      <w:r>
        <w:t>Der Einwand ist begründet. Die Vorinstanz und die beteiligten Behörden gehen auch in diesem Fall davon aus, dass die beiden Versicherungen der Vorsorge (vergleichbar der Säule 3b) dienten und die Kapitalzahlungen im Sinne von Art. 22 Abs. 3 DBG zu 40 Prozent zu besteuern sind. Kapitalleistungen aus Vorsorge im Sinne von Art. 22 Abs. 3 DBG sind indessen nach Art. 38 DBG getrennt vom übrigen Einkommen zu einem Fünftel des Tarifs nach Art. 36 DBG zu besteuern, wie dargelegt worden ist (vgl. vorstehende E. 6.3 und 6.7). Die Veranlagungsbehörden und die Vorinstanz haben indessen die Kapitalleistungen zusammen mit dem übrigen Einkommen zum Satz besteuert, welcher sich ergäbe, wenn anstelle der einmaligen Leistung eine entsprechende jährliche Leistung ausgerichtet würde ( Art. 37 DBG ). Das verletzt Bundesrecht. Die Beschwerde ist in diesem Punkt begründet und die Besteuerung gemäss Art. 22 Abs. 3 in Verbindung mit Art. 38 DBG vorzunehmen.</w:t>
      </w:r>
    </w:p>
    <w:p>
      <w:r>
        <w:rPr>
          <w:b/>
        </w:rPr>
        <w:t>E. 8</w:t>
      </w:r>
    </w:p>
    <w:p>
      <w:r>
        <w:t>Das Staatsvertragsrecht steht dieser Besteuerung nicht entgegen. Das Abkommen der Schweiz mit den Niederlanden zur Vermeidung der Doppelbesteuerung auf dem Gebiete der Steuern vom Einkommen und Vermögen vom 12. November 1951 (SR 0.672. 963.61; im Folgenden: DBA-NL) enthält für die Besteuerung der Rentenzahlungen oder des Vermögensanfalls aus Leibrenten- und Personenversicherungsverträgen keine Bestimmung. Es wird von keiner Seite geltend gemacht, dass es sich bei den streitigen Einkünften um Ruhegehälter und ähnliche Vergütungen im Sinne von Art. 8 des Abkommens handle. Ein solches würde frühere unselbständige Arbeit voraussetzen, was hier nicht der Fall ist (vgl. PETER BGE 135 II 195 S. 207 LOCHER, Einführung in das internationale Steuerrecht der Schweiz [im Folgenden: Einführung], 3. Aufl. 2005, S. 451 f.). Der Beschwerdeführer schloss den Rentenvertrag vielmehr bei der Veräusserung der ihm gehörenden Gesellschaft mit beschränkter Haftung (Veräusserungsrente, vgl. LOCHER, Kommentar, N. 57 zu Art. 22 DBG ). Art. 4 Abs. 1 DBA-NL sieht für Einkünfte aus Handels-, Industrie- und Gewerbebetrieben einschliesslich der bei ihrer Veräusserung erzielten Gewinne zwar vor, dass diese nur in dem Staat zu besteuern sind, in dessen Gebiet sich die Betriebsstätte befindet (hier die Niederlande). Beteiligungen in Form von Aktien, Anteilen an Genossenschaften und Gesellschaften mit beschränkter Haftung sind jedoch von dieser Regelung ausdrücklich ausgenommen (Art. 4 Abs. 4 zweiter Halbsatz DBA-NL). Aus dem DBA-NL folgt auch nicht, dass Gewinne aus der Veräusserung von Beteiligungen an juristischen Personen von den schweizerischen Steuern zu befreien sind (s. auch LOCHER, Einführung, S. 384). Es gilt daher Art. 2 Abs. 1 DBA-NL , wonach das Einkommen, für welches das Abkommen keine besondere Bestimmung enthält, im Wohnsitzstaat zur Besteuerung gelangt. II. Staats- und Gemeindesteuern</w:t>
      </w:r>
    </w:p>
    <w:p>
      <w:r>
        <w:rPr>
          <w:b/>
        </w:rPr>
        <w:t>E. 9.1</w:t>
      </w:r>
    </w:p>
    <w:p>
      <w:r>
        <w:t>Das StHG enthält für die steuerliche Behandlung der Vorsorge im Rahmen der kantonalen direkten Steuern eine dem DBG ähnliche Regelung. Der Besteuerung unterliegen nach Art. 7 Abs. 1 StHG alle wiederkehrenden und einmaligen Einkünfte aus Vorsorgeeinrichtungen und Leibrenten (entsprechend Art. 22 Abs. 1 DBG ). Nach Absatz 2 von Art. 7 StHG sind Leibrenten sowie Einkünfte aus Verpfründung zu 40 Prozent steuerbar (analog Art. 22 Abs. 3 DBG ). Steuerfrei ist gemäss Art. 7 Abs. 4 lit. d StHG nur der Vermögensanfall aus rückkaufsfähiger privater Kapitalversicherung (analog Art. 24 lit. b DBG ). Die Einlagen, Prämien und Beiträge an die Alters-, Hinterlassenen- und Invalidenversicherung (Säule 1), an Einrichtungen der beruflichen Vorsorge (Säule 2) und an anerkannte Formen der gebundenen Vorsorge (Säule 3a) sind gemäss Art. 9 Abs. 2 lit. d und e StHG grundsätzlich abziehbar (Waadtländer-Modell, analog Art. 33 Abs. 1 lit. d und e DBG ). Hingegen können die Beiträge und Einlagen an Leibrenten und Lebensversicherungen der Säule 3b nur im Rahmen des allgemeinen Abzugs für Versicherungsprämien und Zinsen von BGE 135 II 195 S. 208 Sparkapitalien gemäss Art. 9 Abs. 2 lit. g StHG geltend gemacht werden. Es gelten mithin nach dem StHG weitgehend die gleichen Vorschriften wie für die direkte Bundessteuer. Es rechtfertigt sich nicht, Kapitalabfindungen aus Leibrentenversprechen und Lebensversicherungen der Säule 3b im Bereich der kantonalen direkten Steuern vom Einkommen anders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