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138</w:t>
      </w:r>
    </w:p>
    <w:p>
      <w:r>
        <w:t>Bundesgericht (BGE), 2009-01-08, DE</w:t>
      </w:r>
    </w:p>
    <w:p>
      <w:r>
        <w:rPr>
          <w:b/>
        </w:rPr>
        <w:t xml:space="preserve">Quelle: </w:t>
      </w:r>
      <w:r>
        <w:t>https://mcp.opencaselaw.ch/entscheid/bge_BGE_135_II_138</w:t>
      </w:r>
    </w:p>
    <w:p>
      <w:r>
        <w:t>FR: ATF 135 II 138</w:t>
      </w:r>
    </w:p>
    <w:p>
      <w:r>
        <w:t>IT: DTF 135 II 138</w:t>
      </w:r>
    </w:p>
    <w:p>
      <w:pPr>
        <w:pStyle w:val="Heading2"/>
      </w:pPr>
      <w:r>
        <w:t>Regeste</w:t>
      </w:r>
    </w:p>
    <w:p>
      <w:r>
        <w:t>Regeste Art. 16a Abs. 1 lit. a und Abs. 3, Art. 16b Abs. 1 lit. a und Abs. 2 lit. a SVG; Verstoss gegen das Strassenverkehrsgesetz, Abgrenzung der leichten von der mittelschweren Widerhandlung, Verwarnung, Führerausweisentzug. Die Annahme einer leichten Widerhandlung, bei der eine Verwarnung möglich ist, setzt voraus, dass der Lenker eine geringe Gefahr für die Sicherheit anderer hervorgerufen hat und ihn ein leichtes Verschulden trifft. Beide Elemente müssen kumulativ gegeben sein. Fall eines Lastwagenfahrers, der mangels genügender Aufmerksamkeit in einen vor ihm fahrenden Personenwagen geprallt ist. Leichte Widerhandlung verneint, da der Lastwagenfahrer keine geringe Gefahr geschaffen hat. Entzug des Führerausweises für die Dauer eines Monats (E. 2).</w:t>
      </w:r>
    </w:p>
    <w:p>
      <w:r>
        <w:t>Regeste Art. 16a al. 1 let. a et al. 3, art. 16b al. 1 let. a et al. 2 let. a LCR; violation de la LCR, distinction entre infraction légère et infraction moyennement grave, avertissement, retrait du permis de conduire. Il y a infraction légère, pouvant donner lieu à un avertissement, lorsque le conducteur a mis légèrement en danger la sécurité des autres usagers et que sa faute est bénigne. Les deux conditions sont cumulatives. Cas d'un chauffeur de camion qui, par manque d'attention suffisante, emboutit une voiture circulant devant lui. L'infraction n'est pas légère car le danger créé par le camionneur n'est pas léger. Retrait pour un mois du permis de conduire (consid. 2).</w:t>
      </w:r>
    </w:p>
    <w:p>
      <w:r>
        <w:t>Regesto Art. 16a cpv. 1 lett. a e cpv. 3, art. 16b cpv. 1 lett. a e cpv. 2 lett. a LCStr; violazione della legge sulla circolazione stradale, distinzione tra infrazione lieve e infrazione medio grave, ammonimento, revoca della licenza di condurre. Un'infrazione lieve, che può comportare un ammonimento, presuppone che il conducente provochi un pericolo minimo per la sicurezza altrui e si renda responsabile soltanto di una colpa leggera. Le due condizioni devono essere adempiute cumulativamente. Caso di un conducente di un autocarro che, per insufficiente attenzione, tampona un'autovettura che lo precede. L'infrazione non è lieve poiché il pericolo provocato dal conducente dell'autocarro non è minimo. Revoca della licenza di condurre per un mese (consid. 2).</w:t>
      </w:r>
    </w:p>
    <w:p>
      <w:pPr>
        <w:pStyle w:val="Heading2"/>
      </w:pPr>
      <w:r>
        <w:t>Erwägungen</w:t>
      </w:r>
    </w:p>
    <w:p>
      <w:r>
        <w:rPr>
          <w:b/>
        </w:rPr>
        <w:t>E. 2.1</w:t>
      </w:r>
    </w:p>
    <w:p>
      <w:r>
        <w:t>Das Strassenverkehrsamt bringt vor, weder die vom Beschwerdegegner hervorgerufene Gefährdung der Sicherheit anderer noch sein Verschulden seien gering. Damit könne kein leichter Fall nach Art. 16a Abs. 1 lit. a SVG mehr angenommen werden. Vielmehr liege ein mittelschwerer Fall nach Art. 16b Abs. 1 lit. a SVG vor. Der Führerausweis sei daher dem Beschwerdegegner gemäss Art. 16b Abs. 2 lit. a SVG für mindestens einen Monat zu entziehen.</w:t>
      </w:r>
    </w:p>
    <w:p>
      <w:r>
        <w:rPr>
          <w:b/>
        </w:rPr>
        <w:t>E. 2.2.1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 BGE 135 II 138 S. 141</w:t>
      </w:r>
    </w:p>
    <w:p>
      <w:r>
        <w:rPr>
          <w:b/>
        </w:rPr>
        <w:t>E. 2.2.2</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JdT 2006 I S. 442; Botschaft vom 31. März 1999 zur Änderung des Strassenverkehrsgesetzes, BBl 1999 4487).</w:t>
      </w:r>
    </w:p>
    <w:p>
      <w:r>
        <w:rPr>
          <w:b/>
        </w:rPr>
        <w:t>E. 2.2.3</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(Urteile 1C_3/2008 vom 18. Juli 2008 E. 5.1; 1C_75/2007 vom 13. September 2007 E. 3.1; 6A.89/2006 vom 19. Juli 2007 E. 2.3; vgl. ebenso BGE 133 II 58 E. 5.5 S. 63). Diese Ansicht wird im Schrifttum geteilt (CÉDRIC MIZEL, Les nouvelles dispositions légales sur le retrait du permis de conduire, RDAF 2004 S. 388 N. 45). Die Vorinstanz vertritt unter Hinweis auf einen Entscheid des Kassationshofes aus dem Jahr 1999 ( BGE 125 II 561 ) eine andere Auffassung. Danach ist selbst bei einer grossen Verkehrsgefährdung die Annahme eines leichten Falles und damit eine Verwarnung möglich, wenn den Lenker ein leichtes Verschulden trifft und er über einen langjährigen ungetrübten automobilistischen Leumund verfügt (a.a.O. E. 2 S. 565 ff.). Dieser Entscheid ist überholt. Die darin gegebene Auslegung stützt sich auf aArt. 31 der Verordnung vom 27. Oktober 1976 über die Zulassung von Personen und Fahrzeugen zum Strassenverkehr (VZV; SR 741.51). Diese Bestimmung erwähnte lediglich das Verschulden und den automobilistischen Leumund als wesentliche Elemente zur Beurteilung des leichten Falles und enthielt keine Anhaltspunkte, wonach die Schwere der Gefährdung als selbständiges Beurteilungsmerkmal herangezogen werden sollte (a.a.O. E. 2a S. 566). Art. 31 VZV wurde mit der am 1. Januar 2005 in Kraft getretenen Revision des Strassenverkehrsrechts geändert und betrifft heute die Informationspflicht, ist also im vorliegenden Zusammenhang nicht mehr von Bedeutung. Die Voraussetzungen einer leichten Widerhandlung, bei der eine blosse Verwarnung BGE 135 II 138 S. 142 möglich ist, umschreibt nunmehr im Einzelnen Art. 16a Abs. 1 lit. a SVG . Danach stellt die Gefährdung der Sicherheit anderer einen wesentlichen und eigenständigen Gesichtspunkt dar. Die Auffassung der Vorinstanz widerspricht dem klaren Wortlaut von Art. 16a Abs. 1 lit. a SVG . Nach der Rechtsprechung darf die Auslegung vom klaren Wortlaut eines Rechtssatzes nur abweichen, wenn triftige Gründe dafür bestehen, dass er nicht den wahren Sinn der Bestimmung wiedergibt ( BGE 131 II 217 E. 2.3 S. 221 mit Hinweisen). Solche Gründe nennt die Vorinstanz nicht und sind nicht ersichtlich. Bei Art. 16a Abs. 1 lit. a SVG handelt es sich um kein gesetzgeberisches Versehen. Wie in der Botschaft vom 31. März 1999 zur Änderung des Strassenverkehrsgesetzes (a.a.O. 4489) ausgeführt wird, ist eine mittelschwere Widerhandlung nach Art. 16b SVG gegeben, wenn das Verschulden gross, die Gefährdung aber gering oder umgekehrt das Verschulden gering und die Gefährdung gross ist . Der Gesetzgeber hat somit bewusst dem Gesichtspunkt der Verkehrsgefährdung ein höheres Gewicht beigemessen (vgl. dazu CÉDRIC MIZEL, De la nature renforcée par le nouveau droit de mesure préventive et éducative du retrait admonitoire du permis de conduire, AJP 2007 S. 1361 Ziff. VI und S. 1362 f. Ziff. 2 f.).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 BGE 128 II 173 E. 3c S. 177 mit Hinweis); dies nicht nur gegenüber Rückfälligen, sondern auch gegenüber Ersttätern ( BGE 133 II 331 E. 4.3 S. 336 f.). Daran ist das Bundesgericht gebunden ( Art. 190 BV ; BGE 132 II 234 E. 3.2 S. 238/239).</w:t>
      </w:r>
    </w:p>
    <w:p>
      <w:r>
        <w:rPr>
          <w:b/>
        </w:rPr>
        <w:t>E. 2.3</w:t>
      </w:r>
    </w:p>
    <w:p>
      <w:r>
        <w:t>Der Führer muss das Fahrzeug ständig so beherrschen, dass er seinen Vorsichtspflichten nachkommen kann ( Art. 31 Abs. 1 SVG ). Er muss seine Aufmerksamkeit der Strasse und dem Verkehr zuwenden (Art. 3 Abs. 1 der Verkehrsregelnverordnung vom 13. November 1962 [VRV; SR 741.11]). Er hat gegenüber allen Strassenbenützern einen ausreichenden Abstand zu wahren, namentlich beim Hintereinanderfahren ( Art. 34 Abs. 4 SVG ). Auch bei überraschendem Bremsen des voranfahrenden Fahrzeugs muss er rechtzeitig halten können ( Art. 12 Abs. 1 VRV ). Der Beschwerdegegner hat diese Verkehrsregeln unstreitig verletzt. Bei der polizeilichen Befragung gab er an, vor ihm sei ein BGE 135 II 138 S. 143 Personenwagen gefahren, der kurz vor der Garage nach rechts in eine Seitenstrasse abgebogen sei. Er habe diesem Personenwagen nachgeschaut. Deshalb habe er nicht sofort bemerkt, dass ein anderer Personenwagen vor dem Fussgängerstreifen abgebremst habe. Als er wieder geradeaus auf die Strasse geschaut habe, habe er sofort eine Vollbremsung eingeleitet. Er habe eine leichte Kollision jedoch nicht mehr verhindern können. Seiner Schuld sei er sich bewusst. Wie das Strassenverkehrsamt zutreffend darlegt, stellt der vom Beschwerdegegner gelenkte Lastwagen wegen des grossen Betriebsgewichts und der senkrechten Fahrzeugfront eine erhöhte Gefährdung dar. Die Kollision mit einem schwächeren Verkehrsteilnehmer geht aufgrund der physikalischen Gesetze zu dessen Ungunsten aus. Zwar wurde bei der hier zu beurteilenden Auffahrkollision niemand verletzt. Der Beschwerdegegner ist jedoch in den vor ihm abbremsenden Personenwagen geprallt. Damit hat er dessen Lenker konkret gefährdet. Überdies hat er die Fussgängerin, die den Fussgängerstreifen überqueren wollte, zumindest abstrakt gefährdet. Auffahrunfälle können insbesondere bei den Insassen des voranfahrenden Fahrzeugs zu schweren Verletzungen führen. Das gilt namentlich dann, wenn es sich beim hinteren Fahrzeug um einen Lastwagen handelt. Eine typische Verletzung bei Auffahrunfällen stellt ein Schleudertrauma der Halswirbelsäule dar (vgl. etwa BGE 134 III 489 ; BGE 130 V 35 ; BGE 127 V 165 ). Dieses kann gravierende gesundheitliche Folgen haben. Angesichts dessen kann die vom Beschwerdegegner geschaffene Gefahr für die Sicherheit anderer nicht mehr als leicht eingestuft werden. Die Annahme einer leichten Widerhandlung gemäss Art. 16a Abs. 1 lit. a SVG ist deshalb ausgeschlossen. Ob, wie das Strassenverkehrsamt geltend macht, auch das Verschulden des Beschwerdegegners nicht mehr als leicht zu beurteilen gewesen wäre, kann offenbleiben.</w:t>
      </w:r>
    </w:p>
    <w:p>
      <w:r>
        <w:rPr>
          <w:b/>
        </w:rPr>
        <w:t>E. 2.4</w:t>
      </w:r>
    </w:p>
    <w:p>
      <w:r>
        <w:t>Nach dem Gesagten ist hier eine mittelschwere Widerhandlung gemäss Art. 16b Abs. 1 lit. a SVG anzunehmen. Auf eine solche Widerhandlung erkannte das Bundesgericht auch im Urteil 1C_75/2007 vom 13. September 2007, das einen weitgehend vergleichbaren Auffahrunfall betraf (E. 3.2). Die Bejahung einer mittelschweren Widerhandlung steht nicht in Widerspruch zur Strafverfügung. Der Strafrichter hat den Beschwerdegegner in Anwendung von Art. 90 Ziff. 1 SVG gebüsst. Diese BGE 135 II 138 S. 144 Bestimmung umfasst die leichte und die mittelschwere Widerhandlung ( BGE 128 II 139 E. 2c S. 143; Urteil 6A.30/2002 vom 30. Juli 2002 E. 1.2). Der Führerausweis ist dem Beschwerdegegner danach gemäss Art. 16b Abs. 2 lit. a SVG für mindestens einen Monat zu entziehen. Diese Mindestentzugsdauer darf gemäss Art. 16 Abs. 3 Satz 2 SVG auch bei einem Berufschauffeur nicht unterschritten werden ( BGE 132 II 234 E. 2 S. 235 ff.). Das Strassenverkehrsamt beantragt, den Führerausweis für die Mindestdauer zu entziehen. Darüber darf das Bundesgericht nicht hinausgehen ( Art. 107 Abs. 1 BGG ). Die Sache ist somit spruchreif und das Bundesgericht kann selber entscheiden ( Art. 107 Abs. 2 BGG ). Dem Beschwerdegegner wird der Führerausweis für die Dauer eines Monats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