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92</w:t>
      </w:r>
    </w:p>
    <w:p>
      <w:r>
        <w:t>Bundesgericht (BGE), 1971-05-04, DE</w:t>
      </w:r>
    </w:p>
    <w:p>
      <w:r>
        <w:rPr>
          <w:b/>
        </w:rPr>
        <w:t xml:space="preserve">Quelle: </w:t>
      </w:r>
      <w:r>
        <w:t>https://mcp.opencaselaw.ch/entscheid/bge_BGE_135_III_92</w:t>
      </w:r>
    </w:p>
    <w:p>
      <w:r>
        <w:t>FR: ATF 135 III 92</w:t>
      </w:r>
    </w:p>
    <w:p>
      <w:r>
        <w:t>IT: DTF 135 III 92</w:t>
      </w:r>
    </w:p>
    <w:p>
      <w:pPr>
        <w:pStyle w:val="Heading2"/>
      </w:pPr>
      <w:r>
        <w:t>Regeste</w:t>
      </w:r>
    </w:p>
    <w:p>
      <w:r>
        <w:t>Regeste Internationales Privatrecht; Haager Übereinkommen vom 4. Mai 1971 über das auf Strassenverkehrsunfälle anzuwendende Recht. Auslegung des Begriffs der Unfallbeteiligung im Sinne von Art. 4 lit. a und b des Übereinkommens (E. 3.2).</w:t>
      </w:r>
    </w:p>
    <w:p>
      <w:r>
        <w:t>Regeste Droit international privé; Convention de La Haye du 4 mai 1971 sur la loi applicable en matière d'accidents de la circulation routière. Interprétation de la notion d'implication dans l'accident au sens de l'art. 4 let. a et b de la Convention (consid. 3.2).</w:t>
      </w:r>
    </w:p>
    <w:p>
      <w:r>
        <w:t>Regesto Diritto internazionale privato; Convenzione dell'Aia del 4 maggio 1971 sulla legge applicabile in materia di incidenti della circolazione stradale. Interpretazione della nozione di coinvolgimento nell'incidente ai sensi dell'art. 4 lett. a e b della Convenzione (consid. 3.2).</w:t>
      </w:r>
    </w:p>
    <w:p>
      <w:pPr>
        <w:pStyle w:val="Heading2"/>
      </w:pPr>
      <w:r>
        <w:t>Erwägungen</w:t>
      </w:r>
    </w:p>
    <w:p>
      <w:r>
        <w:rPr>
          <w:b/>
        </w:rPr>
        <w:t>E. 3</w:t>
      </w:r>
    </w:p>
    <w:p>
      <w:r>
        <w:t>(...)</w:t>
      </w:r>
    </w:p>
    <w:p>
      <w:r>
        <w:rPr>
          <w:b/>
        </w:rPr>
        <w:t>E. 3.1</w:t>
      </w:r>
    </w:p>
    <w:p>
      <w:r>
        <w:t>Das anwendbare Recht, dem die geltend gemachten Ansprüche des Beschwerdeführers aus dem Strassenverkehrsunfall in Bosnien- Herzegowina unterstehen, richtet sich gemäss Art. 134 IPRG (SR 291) nach dem Haager Übereinkommen vom 4. Mai 1971 über das auf Strassenverkehrsunfälle anzuwendende Recht (SR 0.741.31; im Folgenden: SVÜ). Art. 3 SVÜ erklärt grundsätzlich das Recht jenes Staates für anwendbar, in dessen Hoheitsgebiet sich der Unfall ereignet hat. Neben dieser Grundsatzanknüpfung enthalten die Art. 4 ff. SVÜ Sonderanknüpfungen. Nach Art. 4 lit. a SVÜ ist insbesondere auf die Haftung gegenüber dem Fahrzeughalter das Recht des Zulassungsstaates anzuwenden, wenn nur ein Fahrzeug an dem Unfall beteiligt und dieses Fahrzeug in einem anderen als dem Staat zugelassen ist, in dessen Hoheitsgebiet sich der Unfall ereignet hat. Sind mehrere Fahrzeuge an dem Unfall beteiligt und alle Fahrzeuge im selben Staat zugelassen, gelangt ebenso das Recht des Zulassungsstaates zur Anwendung (Art. 4 lit. b SVÜ).</w:t>
      </w:r>
    </w:p>
    <w:p>
      <w:r>
        <w:rPr>
          <w:b/>
        </w:rPr>
        <w:t>E. 3.2</w:t>
      </w:r>
    </w:p>
    <w:p>
      <w:r>
        <w:t>Der Beschwerdeführer bringt vor, entgegen der Auffassung der Vorinstanz sei nur das von ihm gelenkte Fahrzeug und nicht auch das entgegenkommende am Unfall beteiligt gewesen. Die Vorinstanz hätte somit seine Ansprüche gegenüber den Beschwerdegegnern in Anwendung von Art. 4 lit. a SVÜ nach Schweizer Recht beurteilen müssen.</w:t>
      </w:r>
    </w:p>
    <w:p>
      <w:r>
        <w:rPr>
          <w:b/>
        </w:rPr>
        <w:t>E. 3.2.1</w:t>
      </w:r>
    </w:p>
    <w:p>
      <w:r>
        <w:t>Zur Auslegung des Begriffs der Unfallbeteiligung im Sinne von Art. 4 lit. a und b SVÜ ist zunächst der Wortlaut der englischen und französischen Originalfassungen zu konsultieren. Der englische Vertragstext verwendet in Art. 4 lit. a und b SVÜ den Begriff "involved" und der französische Text den Begriff "impliqué". Während "involved" kein schuldhaftes Mitwirken am Unfallgeschehen voraussetzt, kann dem Begriff "impliqué" zusätzlich auch die Bedeutung der schuldhaften Verursachung zukommen (ERIC W. ESSEN, Rapport explicatif, Conférence de La Haye de droit international privé, Actes et documents de la onzième session, 7 au 26 octobre 1968, Bd. III, Accidents de la circulation routière, 1970, Ziff. 7.1 f. zu Art. 4 SVÜ). In Art. 4 lit. a und b SVÜ ist der Begriff "impliqué" jedoch einzig in seiner objektiv neutralen Bedeutung zu verstehen, ohne dass darin eine Form von Schuldzuweisung zum Ausdruck BGE 135 III 92 S. 95 käme (ESSEN, a.a.O., Ziff. 7.1 f. zu Art. 4 SVÜ; Botschaft vom 24. Oktober 1984 betreffend das Haager Übereinkommen über das auf Strassenverkehrsunfälle anzuwendende Recht, BBl 1984 III 915 ff., 924; DUTOIT, Commentaire de la loi fédérale du 18 décembre 1987, 4. Aufl. 2005, N. 12 zu Art. 134 IPRG ; SCHAFFHAUSER/ZELLWEGER, Grundriss des schweizerischen Strassenverkehrsrechts, Bd. II: Haftpflicht und Versicherung, 1988, N. 1945; VOLKEN, in: Zürcher Kommentar, 2. Aufl. 2004, N. 77 zu Art. 134 IPRG ). Der Begriff der Unfallbeteiligung im Sinne von Art. 4 lit. a und b SVÜ ist in einem weiten Sinn auszulegen (BBl 1984 III 924; SCHAFFHAUSER/ZELLWEGER, a.a.O., N. 1945). Jede Mitwirkung am Unfallgeschehen gilt in Bezug auf die Fahrzeuge als Beteiligung, das heisst, beteiligt im Sinne von Art. 4 lit. a und b SVÜ sind alle in den Unfall aktiv oder passiv verwickelten Fahrzeuge (MARTIN METZLER, Motorfahrzeug-Haftpflichtversicherung: Eine Übersicht zur internationalen Schadenregulierung, in: Haftpflicht- und Versicherungsrechtstagung 2003, Alfred Koller [Hrsg.], S. 175; SCHAFFHAUSER/ZELLWEGER, a.a.O., N. 1945; VOLKEN, a.a.O., N. 91 zu Art. 134 IPRG ). Zum Begriff der Unfallbeteiligung im Sinne von Art. 4 lit. a und b SVÜ kann auch die Rechtsprechung und Lehre zu Art. 51 SVG beigezogen werden (SCHAFFHAUSER/ZELLWEGER, a.a.O., N. 1945; VOLKEN, a.a.O., N. 77 zu Art. 134 IPRG ; vgl. auch ESSEN, a.a.O., Ziff. 7.1 zu Art. 4 SVÜ), wonach an einem Unfall nicht nur als beteiligt gilt, wer einen Fehler begangen oder den Unfall direkt verursacht bzw. dazu beigetragen hat, sondern ebenso, wer in anderer Weise, auch nur indirekt, beim Zustandekommen des Unfalls mitgewirkt hat oder aufgrund der Umstände annehmen musste, als Unfallverursacher in Frage zu kommen (Urteil 6S.275/1995 vom 22. August 1995 E. 3b/aa, in: Pra 85/1996 Nr. 177 S. 647 ff.; BGE 83 IV 46 E. 2), so zum Beispiel durch Blenden oder Erschrecken eines am Unfall direkt Beteiligten (GIGER, Strassenverkehrsgesetz, 6. Aufl. 2002, N. 2 zu Art. 51 SVG ).</w:t>
      </w:r>
    </w:p>
    <w:p>
      <w:r>
        <w:rPr>
          <w:b/>
        </w:rPr>
        <w:t>E. 3.2.2</w:t>
      </w:r>
    </w:p>
    <w:p>
      <w:r>
        <w:t>Die Vorinstanz hat demnach zu Recht das Vorliegen eines Selbstunfalles verneint und das entgegenkommende Fahrzeug als beteiligt im Sinne von Art. 4 lit. a und b SVÜ betrachtet. Wie sie in tatbeständlicher Hinsicht feststellte, wurde der Unfall nicht ausschliesslich durch das Fehlverhalten des Beschwerdeführers verursacht, sondern hat das entgegenkommende Fahrzeug am Unfall durch das Blenden mitgewirkt. Als den Unfall mitverursachendes Fahrzeug ist dieses daher in den Unfall verwickelt. Dass es dabei nicht zu einem Zusammenstoss resp. nicht einmal zu einem BGE 135 III 92 S. 96 Berühren der beiden Fahrzeuge kam, ändert nach der oben dargelegten Auslegung nichts daran. Soweit der Beschwerdeführer bei seinen rechtlichen Vorbringen zur Anwendung von Art. 4 lit. a SVÜ davon ausgeht, dass einzig sein Fahrfehler für den Unfall ursächlich gewesen sei und das entgegenkommende Fahrzeug bloss ein untergeordnetes und zufälliges Moment dargestellt habe, ist er nicht zu hören. Denn er legt damit seinen Ausführungen einen Sachverhalt zugrunde, der nicht den tatsächlichen Feststellungen der Vorinstanz entspricht und auch aufgrund seiner erhobenen Sachverhaltsrüge nicht entsprechend korrigiert worden ist (vgl. nicht publ. E. 2; BGE 130 III 102 E. 2.2 S. 106; BGE 127 III 248 E. 2c; BGE 115 II 484 E. 2a). Dies gilt insbesondere, wenn er sich auf den österreichischen Obersten Gerichtshof beruft, der in ständiger Rechtsprechung davon ausgeht, dass der Ausdruck "beteiligt" in Art. 4 lit. a und b SVÜ im objektiven, weiteren Sinn dahingehend zu verstehen sei, dass das Fahrzeug beim Unfall eine aktive oder passive, aber nicht bloss eine zufällige Rolle gespielt habe (Urteile des OGH 2Ob314/97h vom 2. September 1999 ; 2Ob48 /93 vom 16. September 1993 ; 2Ob59 /89 vom 14. November 1989). Der Beschwerdeführer verkennt dabei, dass vorliegend in tatbeständlicher Hinsicht feststeht, dass das entgegenkommende, blendende Fahrzeug nicht bloss eine untergeordnete, rein zufällige Rolle gespielt hat. Unerheblich sind zudem die Ausführungen des Beschwerdeführers zur Rechtslage vor der Ratifizierung des SVÜ sowie zum Umstand, dass sich die Schweiz als Sozialstaat mit dem Beschwerdeführer finanziell auseinandersetzen müsse. Ebenso nicht stichhaltig sind seine Vorbringen zum Gutachten des Instituts für Rechtsvergleichung. Er verkennt, dass das Institut für Rechtsvergleichung nicht die Frage des anwendbaren Rechts, sondern einzig die Frage der Haftung nach bosnisch-herzegowinischem Recht darzustellen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