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88</w:t>
      </w:r>
    </w:p>
    <w:p>
      <w:r>
        <w:t>Bundesgericht (BGE), 2008-11-21, FR</w:t>
      </w:r>
    </w:p>
    <w:p>
      <w:r>
        <w:rPr>
          <w:b/>
        </w:rPr>
        <w:t xml:space="preserve">Quelle: </w:t>
      </w:r>
      <w:r>
        <w:t>https://mcp.opencaselaw.ch/entscheid/bge_BGE_135_III_88</w:t>
      </w:r>
    </w:p>
    <w:p>
      <w:r>
        <w:t>FR: ATF 135 III 88</w:t>
      </w:r>
    </w:p>
    <w:p>
      <w:r>
        <w:t>IT: DTF 135 III 88</w:t>
      </w:r>
    </w:p>
    <w:p>
      <w:pPr>
        <w:pStyle w:val="Heading2"/>
      </w:pPr>
      <w:r>
        <w:t>Regeste</w:t>
      </w:r>
    </w:p>
    <w:p>
      <w:r>
        <w:t>Regeste Art. 67 Abs. 1 Ziff. 3 SchKG; Umrechnungskurs in gesetzliche Schweizerwährung für eine in Euro festgelegte Forderung. Der Umrechnungskurs des Euro ist eine notorische Tatsache, die vom Betreibungsgläubiger weder behauptet noch bewiesen werden muss (E. 4).</w:t>
      </w:r>
    </w:p>
    <w:p>
      <w:r>
        <w:t>Regeste Art. 67 al. 1 ch. 3 LP; taux de conversion en valeur légale suisse d'une créance stipulée en euros. Le taux de conversion de l'euro est un fait notoire qui ne doit être ni allégué ni prouvé par le créancier poursuivant (consid. 4).</w:t>
      </w:r>
    </w:p>
    <w:p>
      <w:r>
        <w:t>Regesto Art. 67 cpv. 1 n. 3 LEF; tasso di conversione nella valuta legale svizzera di un credito stipulato in euro. Il tasso di conversione dell'euro è un fatto notorio che non dev'essere né allegato né provato dal creditore procedente (consid. 4).</w:t>
      </w:r>
    </w:p>
    <w:p>
      <w:pPr>
        <w:pStyle w:val="Heading2"/>
      </w:pPr>
      <w:r>
        <w:t>Erwägungen</w:t>
      </w:r>
    </w:p>
    <w:p>
      <w:r>
        <w:rPr>
          <w:b/>
        </w:rPr>
        <w:t>E. 4</w:t>
      </w:r>
    </w:p>
    <w:p>
      <w:r>
        <w:t>Le recourant soutient qu'en jugeant que l'intimée ne devait pas prouver par pièce le taux de change entre l'euro et le franc suisse, la cour cantonale aurait violé l' art. 80 al. 1 LP .</w:t>
      </w:r>
    </w:p>
    <w:p>
      <w:r>
        <w:rPr>
          <w:b/>
        </w:rPr>
        <w:t>E. 4.1</w:t>
      </w:r>
    </w:p>
    <w:p>
      <w:r>
        <w:t>A teneur de l' art. 67 al. 1 ch. 3 LP , la réquisition de poursuite adressée à l'Office énonce le montant de la créance en valeur légale suisse. La conversion en valeur légale suisse d'une créance stipulée en monnaie étrangère est une règle d'ordre public et une exigence de la pratique. En imposant cette conversion, le législateur n'a cependant pas entendu modifier le rapport de droit liant les parties et nover en une dette de francs suisses celle que les intéressés ont librement fixée en devises étrangères ( ATF 134 III 151 consid. 2.3 et les références citées; ROLAND RUEDIN, in Commentaire romand, Poursuite et faillite, 2005, n os 27 s. ad art. 67 LP ). La conversion se fait au cours de l'offre des devises du jour de la réquisition de poursuite ( ATF 51 III 180 consid. 4; BlSchK 1997 p. 62 consid. 5e; RUEDIN, op. cit., n os 29 s. ad art. 67 LP ). Selon la jurisprudence, les faits notoires, qu'il n'est pas nécessaire d'alléguer ni de prouver ( ATF 130 III 113 consid. 3.4 et les arrêts cités), sont ceux dont l'existence est certaine au point d'emporter la conviction du juge, qu'il s'agisse de faits connus de manière générale du public (allgemeine notorische Tatsachen) ou seulement du juge (amtskundige oder gerichtskundige Tatsachen; VOGEL/SPÜHLER, Grundriss des Zivilprozessrechts, 8 e éd. 2006, p. 255 n. 17; FABIENNE HOHL, Procédure civile, tome I, 2001, n. 945). La jurisprudence précise que, pour être notoire, un renseignement ne doit pas être constamment BGE 135 III 88 S. 90 présent à l'esprit, il suffit qu'il puisse être contrôlé par des publications accessibles à chacun (arrêt du Tribunal fédéral 4P.277/1998 du 22 février 1999 consid. 3d, in RSDIE 2000 p. 575). De nos jours, le taux de conversion des monnaies est un fait notoire, qui ne doit être ni allégué ni prouvé. Il peut en effet être contrôlé sur internet, par des publications officielles et dans la presse écrite; il est donc accessible à chacun (cf. arrêt du Tribunal fédéral 5P.236/1988 du 8 novembre 1988 consid. 1b, in SJ 1989 p. 205; arrêt du Tribunal fédéral 4P.277/1998 du 22 février 1999 consid. 3d, in RSDIE 2000 p. 575; également PIERRE-ROBERT GILLIÉRON, Commentaire de la loi fédérale sur la poursuite pour dettes et la faillite, art. 1-88 LP , 1999, n o 63 ad art. 80 LP ). L'internet permet en outre d'accéder rapidement au taux de conversion en vigueur à une date donnée - par exemple la date de la réquisition de poursuite -; il n'est donc pas nécessaire d'obtenir une confirmation bancaire ou une copie de la presse parue à la date recherchée. Il suffit ainsi de quelques minutes pour déterminer qu'au 1 er octobre 2007, le cours de l'euro en francs suisses était de 1,6603 et effectuer ensuite la conversion des 1'645 euros en francs suisses ( http://www.fxtop.com donne les taux officiels diffusés par la Banque centrale européenne).</w:t>
      </w:r>
    </w:p>
    <w:p>
      <w:r>
        <w:rPr>
          <w:b/>
        </w:rPr>
        <w:t>E. 4.2</w:t>
      </w:r>
    </w:p>
    <w:p>
      <w:r>
        <w:t>C'est par conséquent à tort que le recourant soutient que le taux de conversion doit être prouvé par pièces et qu'il y aurait donc violation de l' art. 80 al. 1 LP pour ce motif. La cour cantonale a fixé le taux de conversion à 1,65 fr., soit à un taux inférieur au taux réel notoire de 1,6603 fr. La poursuivante n'ayant cependant pas recouru contre l'arrêt cantonal, il n'y a pas lieu de réformer cette décision en sa faveur. Il est superflu d'examiner les griefs formulés par le recourant à l'encontre de la "valeur approximative" retenue par la Cour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