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663</w:t>
      </w:r>
    </w:p>
    <w:p>
      <w:r>
        <w:t>Bundesgericht (BGE), 2009-11-05, DE</w:t>
      </w:r>
    </w:p>
    <w:p>
      <w:r>
        <w:rPr>
          <w:b/>
        </w:rPr>
        <w:t xml:space="preserve">Quelle: </w:t>
      </w:r>
      <w:r>
        <w:t>https://mcp.opencaselaw.ch/entscheid/bge_BGE_135_III_663</w:t>
      </w:r>
    </w:p>
    <w:p>
      <w:r>
        <w:t>FR: ATF 135 III 663</w:t>
      </w:r>
    </w:p>
    <w:p>
      <w:r>
        <w:t>IT: DTF 135 III 663</w:t>
      </w:r>
    </w:p>
    <w:p>
      <w:pPr>
        <w:pStyle w:val="Heading2"/>
      </w:pPr>
      <w:r>
        <w:t>Regeste</w:t>
      </w:r>
    </w:p>
    <w:p>
      <w:r>
        <w:t>Regeste Pflichten des Schuldners bei der Pfändung; Art. 91 SchKG. Gegenstand und Umfang der Auskunftspflicht des Schuldners (E. 3).</w:t>
      </w:r>
    </w:p>
    <w:p>
      <w:r>
        <w:t>Regeste Devoirs du débiteur lors de la saisie; art. 91 LP. Objet et étendue du devoir de renseignement du débiteur (consid. 3).</w:t>
      </w:r>
    </w:p>
    <w:p>
      <w:r>
        <w:t>Regesto Obblighi del debitore in occasione del pignoramento; art. 91 LEF. Oggetto ed estensione dell'obbligo d'informazione del debitore (consid. 3).</w:t>
      </w:r>
    </w:p>
    <w:p>
      <w:pPr>
        <w:pStyle w:val="Heading2"/>
      </w:pPr>
      <w:r>
        <w:t>Erwägungen</w:t>
      </w:r>
    </w:p>
    <w:p>
      <w:r>
        <w:rPr>
          <w:b/>
        </w:rPr>
        <w:t>E. 3</w:t>
      </w:r>
    </w:p>
    <w:p>
      <w:r>
        <w:t>Im Wesentlichen wirft der Beschwerdeführer der Aufsichtsbehörde eine Verletzung der Regeln über die Auskunftspflicht des Schuldners gemäss Art. 91 SchKG sowie von Art. 9 BV vor.</w:t>
      </w:r>
    </w:p>
    <w:p>
      <w:r>
        <w:rPr>
          <w:b/>
        </w:rPr>
        <w:t>E. 3.1</w:t>
      </w:r>
    </w:p>
    <w:p>
      <w:r>
        <w:t>Vorliegend hat die Gläubigerin am 23. Februar 2009 die Nachpfändung von 100 Inhaberaktien der A. AG verlangt, da der Beschwerdeführer nicht nur alleiniger Verwaltungsrat und Geschäftsführer, sondern (seit der Übernahme im Jahre 2005) auch Alleinaktionär der AG sei. Zu Recht ist unbestritten, dass im Fall, in dem ein Gläubiger behauptet, ein gewisser Vermögensgegenstand stehe im Eigentum des Schuldners, dieser gegebenenfalls nachzupfänden ist ( BGE 42 III 116 S. 118), und dass die Regeln der Pfändung auch für die Nachpfändung gemäss Art. 115 Abs. 3 SchKG gelten. Der Schuldner ist daher bei Straffolge verpflichtet, seine Vermögensgegenstände, einschliesslich derjenigen, die sich nicht in seinem Gewahrsam befinden, anzugeben, soweit dies zu einer genügenden Pfändung nötig ist ( Art. 91 SchKG Abs. 1 Ziff. 2 SchKG).</w:t>
      </w:r>
    </w:p>
    <w:p>
      <w:r>
        <w:rPr>
          <w:b/>
        </w:rPr>
        <w:t>E. 3.2</w:t>
      </w:r>
    </w:p>
    <w:p>
      <w:r>
        <w:t>Entgegen der Darstellung des Beschwerdeführers hat die Aufsichtsbehörde nicht über die Nachpfändung der erwähnten Aktien entschieden. Anlass zur Beschwerde gibt einzig die Frage, ob das Betreibungsamt den Beschwerdeführer (gemäss Art. 91 Abs. 6 SchKG ) bei Straffolge auf seine Pflicht aufmerksam machen durfte, Auskunft über die 100 Inhaberaktien der A. AG zu erteilen.</w:t>
      </w:r>
    </w:p>
    <w:p>
      <w:r>
        <w:rPr>
          <w:b/>
        </w:rPr>
        <w:t>E. 3.2.1</w:t>
      </w:r>
    </w:p>
    <w:p>
      <w:r>
        <w:t>Der Einwand des Beschwerdeführers, die Aufsichtsbehörde könne ihn nicht zur Auskunft über "Vermögenswerte Dritter" verpflichten, geht fehl. Zwar trifft zu, dass nur gepfändet werden darf, BGE 135 III 663 S. 665 was dem Schuldner rechtlich gehört ( BGE 105 III 107 E. 4 S. 115; AMONN/WALTHER, Grundriss des Schuldbetreibungs- und Konkursrechts, 8. Aufl. 2008, § 23 Rz. 2 ff.). Über die Pfändbarkeit entscheidet allerdings nicht der Beschwerdeführer als Schuldner, sondern - wie die Aufsichtsbehörde zu Recht erwogen hat - das Betreibungsamt (JAEGER, Schuldbetreibung und Konkurs, Bd. I, 1911, N. 6 und 7 zu Art. 91 SchKG ). Ebenso ist es Sache des Betreibungsamtes, eine Pfändung unter Vormerkung von Ansprüchen Dritter vorzunehmen ( Art. 106 ff. SchKG ).</w:t>
      </w:r>
    </w:p>
    <w:p>
      <w:r>
        <w:rPr>
          <w:b/>
        </w:rPr>
        <w:t>E. 3.2.2</w:t>
      </w:r>
    </w:p>
    <w:p>
      <w:r>
        <w:t>Der Beschwerdeführer übergeht, dass er als Schuldner dem Betreibungsamt umfassend, d.h. auch bei konkreten Anfragen nach bestimmten Vermögensstücken Auskunft zu geben hat, z.B. über Objekte, von denen der Beamte kraft eigenen Wissens, auf Grund von Angaben seitens Dritter oder des Gläubigers Kenntnis hat (vgl. JEANDIN, in: Commentaire romand, Poursuite et faillite, 2005, N. 9 zu Art. 91 SchKG ; KUHN, Die Auskunftspflicht des Schuldners, 1956, S. 38). Die Auskunftspflicht des Schuldners kann sich im Hinblick auf mögliche Anfechtungsgeschäfte auch auf die sogenannte Verdachtsperiode beziehen ( BGE 129 III 239 E. 3.2 S. 241 f.; Urteil 7B.109/2004 vom 17. August 2004 E. 4.2), so dass der Schuldner dem Betreibungsbeamten auch Aufschluss z.B. über Veräusserungen zu erteilen hat (KUHN, a.a.O., S. 61 f.). Vorliegend steht nach dem angefochtenen Entscheid fest, dass das Betreibungsamt von der Gläubigerin konkrete Hinweise auf mögliche pfändbare Vermögenswerte erhalten hat. Wenn die Aufsichtsbehörde die Auskunftspflicht des Beschwerdeführers bestätigt hat, obwohl dieser selber der Meinung ist, die 100 Inhaberaktien der A. AG gehörten ihm nicht, kann von einer Rechtsverletzung nicht gesprochen werden.</w:t>
      </w:r>
    </w:p>
    <w:p>
      <w:r>
        <w:rPr>
          <w:b/>
        </w:rPr>
        <w:t>E. 3.2.3</w:t>
      </w:r>
    </w:p>
    <w:p>
      <w:r>
        <w:t>Aus dem angefochtenen Entscheid geht weiter hervor, dass der Beschwerdeführer die Auskunft über die 100 Inhaberaktien abgelehnt hat. Diese Ablehnung der Auskunft ist eine für das Bundesgericht verbindliche Tatsachenfeststellung ( Art. 105 Abs. 1 BGG ), und der Beschwerdeführer legt nicht dar, inwiefern diese auf einer Rechtsverletzung im Sinne von Art. 95 BGG beruhe oder offensichtlich unrichtig, d.h. willkürlich festgestellt worden sei ( Art. 97 Abs. 1 BGG ; BGE 133 III 393 E. 7.1 S. 398). Der Hinweis des Beschwerdeführers, dass die Auskunft "ungeahnte Wirkungen", z.B. auf die Privatsphäre derjenigen Personen habe, welche die betreffenden Aktien in der Hand halten, ist unbehelflich. Das Gesetz sieht vor, dass Dritte, welche Vermögensgegenstände des Schuldners verwahren, im BGE 135 III 663 S. 666 gleichen Umfang wie der Schuldner auskunftspflichtig sind ( Art. 91 Abs. 4 SchKG ), und dass sie allenfalls ihre Ansprüche im Widerspruchsverfahren ( Art. 106 ff. SchKG ) geltend zu machen haben. Der Beschwerdeführer legt insoweit nicht dar, inwiefern die Aufforderung des Betreibungsamtes, Auskunft über die 100 Inhaberaktien der A. AG zu erteilen, und der Hinweis auf die Straffolgen eine Rechtsverletzung darstellen sollen ( Art. 42 Abs. 2 BGG ).</w:t>
      </w:r>
    </w:p>
    <w:p>
      <w:r>
        <w:rPr>
          <w:b/>
        </w:rPr>
        <w:t>E. 3.3</w:t>
      </w:r>
    </w:p>
    <w:p>
      <w:r>
        <w:t>Nach dem Dargelegten ist der Vorwurf des Beschwerdeführers, die Aufsichtsbehörde habe die Regeln über seine Pflichten als Schuldner im Pfändungsverfahren unrichtig angewendet,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