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608</w:t>
      </w:r>
    </w:p>
    <w:p>
      <w:r>
        <w:t>Bundesgericht (BGE), 2009-09-01, FR</w:t>
      </w:r>
    </w:p>
    <w:p>
      <w:r>
        <w:rPr>
          <w:b/>
        </w:rPr>
        <w:t xml:space="preserve">Quelle: </w:t>
      </w:r>
      <w:r>
        <w:t>https://mcp.opencaselaw.ch/entscheid/bge_BGE_135_III_608</w:t>
      </w:r>
    </w:p>
    <w:p>
      <w:r>
        <w:t>FR: ATF 135 III 608</w:t>
      </w:r>
    </w:p>
    <w:p>
      <w:r>
        <w:t>IT: DTF 135 III 608</w:t>
      </w:r>
    </w:p>
    <w:p>
      <w:pPr>
        <w:pStyle w:val="Heading2"/>
      </w:pPr>
      <w:r>
        <w:t>Regeste</w:t>
      </w:r>
    </w:p>
    <w:p>
      <w:r>
        <w:t>Regeste Art. 271 ff. SchKG; Arrestierung von Vermögenswerten, die einem ausländischen Staat oder einer ausländischen Zentralbank gehören. Unterscheidung zwischen dem "genügenden Bezug" als Bedingung der Arrestierung von Vermögenswerten eines Schuldners, der nicht im Sinne von Art. 271 Abs. 1 Ziff. 4 SchKG in der Schweiz wohnt, und der "genügenden Binnenbeziehung" als Bedingung der Arrestierung von Vermögenswerten, die einem ausländischen Staat oder einer ausländischen Zentralbank gehören (E. 4).</w:t>
      </w:r>
    </w:p>
    <w:p>
      <w:r>
        <w:t>Regeste Art. 271 ss LP; séquestre des biens appartenant à un Etat étranger ou à une banque centrale étrangère. Distinction entre le "lien suffisant" comme condition du séquestre des biens d'un débiteur qui n'habite pas en Suisse au sens de l'art. 271 al. 1 ch. 4 LP et le "rattachement suffisant" comme condition du séquestre des biens appartenant à un Etat étranger ou à une banque centrale étrangère (consid. 4).</w:t>
      </w:r>
    </w:p>
    <w:p>
      <w:r>
        <w:t>Regesto Art. 271 segg. LEF; sequestro di beni appartenenti a uno Stato estero o a una banca centrale estera. Distinzione fra il "legame sufficiente" quale condizione del sequestro di beni di un debitore che non dimora in Svizzera nel senso dell'art. 271 cpv. 1 n. 4 LEF e il "collegamento sufficiente" quale condizione del sequestro di beni appartenenti a uno Stato estero o a una banca centrale estera (consid. 4).</w:t>
      </w:r>
    </w:p>
    <w:p>
      <w:pPr>
        <w:pStyle w:val="Heading2"/>
      </w:pPr>
      <w:r>
        <w:t>Erwägungen</w:t>
      </w:r>
    </w:p>
    <w:p>
      <w:r>
        <w:rPr>
          <w:b/>
        </w:rPr>
        <w:t>E. 4</w:t>
      </w:r>
    </w:p>
    <w:p>
      <w:r>
        <w:t>Après avoir rappelé les conditions cumulatives d'une exécution forcée sur les avoirs d'un Etat étranger (i.e. activité iure gestionis , et non iure imperii , mise sous main de justice de biens qui ne sont pas affectés à des tâches relevant de la puissance publique et rattachement suffisant de la créance avec la Suisse ["Binnenbeziehung"]), la Cour de justice a retenu que les banques centrales étrangères "bénéficient de l'immunité absolue d'exécution forcée pour les actes accomplis dans l'exercice de la puissance publique et, lorsqu'elles ne bénéficient pas de l'immunité restreinte d'exécution [forcée], de l'insaisissabilité absolue des droits patrimoniaux affectés à l'exécution d'un acte d' imperium ". En l'espèce, la juridiction précédente a admis que la débitrice n'avait pas rendu vraisemblable que les créances invoquées à son encontre découlaient d'une activité iure imperii , ni que les actifs mis sous main de justice (i.e. fonds déposés dans une banque) étaient affectés à des tâches lui incombant comme détentrice de la puissance publique. En revanche, elle a considéré que les prétentions déduites en poursuite n'avaient pas de "lien suffisant avec la Suisse", si bien que l'intéressée avait "rendu vraisemblable qu'elle [bénéficiait] de l'immunité restreinte d'exécution faisant obstacle au séquestre de ses avoirs".</w:t>
      </w:r>
    </w:p>
    <w:p>
      <w:r>
        <w:rPr>
          <w:b/>
        </w:rPr>
        <w:t>E. 4.1</w:t>
      </w:r>
    </w:p>
    <w:p>
      <w:r>
        <w:t>Bien que la plainte aux autorités de surveillance soit ouverte pour dénoncer la mise sous séquestre de biens insaisissables ( ATF 129 III 203 consid. 2.3 p. 207; OCHSNER, in Commentaire romand, Poursuite et faillite, 2005, n° 44 ad art. 92 LP ), la doctrine estime que l'immunité d'exécution ( art. 92 al. 1 ch. 11 et art. 275 LP ) peut être invoquée au stade de l'opposition au séquestre, et non BGE 135 III 608 S. 610 seulement lors de l'exécution de la mesure (ARTHO VON GUNTEN, Die Arresteinsprache, 2001, p. 132 ss et les références; GILLIÉRON, Commentaire de la loi fédérale sur la poursuite pour dettes et la faillite, 2003, n° 49 ss ad art. 278 LP ; STOFFEL/CHABLOZ, in Commentaire romand, Poursuite et faillite, 2005, n° 8 in fine ad art. 278 LP ; cf. également: arrêt 5A_92/2008 du 25 juin 2008 consid. 4, obs. SCHWANDER, in ZZZ 2008/09 p. 264). La recourante ne soulève aucune objection sur ce point ( art. 106 al. 2 LTF ).</w:t>
      </w:r>
    </w:p>
    <w:p>
      <w:r>
        <w:rPr>
          <w:b/>
        </w:rPr>
        <w:t>E. 4.2</w:t>
      </w:r>
    </w:p>
    <w:p>
      <w:r>
        <w:t>En l'espèce, il est constant que ni la Convention européenne du 16 mai 1972 sur l'immunité des Etats (RS 0.273.1), ni la Convention des Nations Unies du 2 décembre 2004 sur les immunités juridictionnelles des Etats et de leurs biens ne sont applicables. Partant, c'est en vertu des principes généraux du droit des gens que s'est prononcée la cour cantonale ( ATF 134 III 122 consid. 5.1 p. 127/128), étant précisé que l'exigence d'un "rapport étroit" avec la Suisse n'est pas imposée par le droit international coutumier, mais par le droit interne suisse ( ATF 106 Ia 142 consid. 3b p. 148/149). Encore faut-il, cependant, que l'intimée puisse se prévaloir de l'immunité (restreinte) d'exécution forcée dans le cas présent (cf. infra, consid. 4.4).</w:t>
      </w:r>
    </w:p>
    <w:p>
      <w:r>
        <w:rPr>
          <w:b/>
        </w:rPr>
        <w:t>E. 4.3</w:t>
      </w:r>
    </w:p>
    <w:p>
      <w:r>
        <w:t>La Cour de justice est partie du principe que l'exigence d'un "lien suffisant" de la créance avec la Suisse doit être satisfaite même si le séquestrant est nanti d'un titre exécutoire. La recourante qualifie cette opinion d'arbitraire, l' art. 271 al. 1 ch. 4 LP ne posant à cet égard que des conditions alternatives; de plus, elle serait "en contradiction totale avec la CLug". Il est exact que les conditions posées par la disposition précitée sont alternatives, et non pas cumulatives (arrêt 5P.32/1997 du 15 mai 1997 consid. 3 et la doctrine citée). Toutefois, un tel constat ne serait décisif que si l' art. 271 al. 1 ch. 4 LP était exclusivement applicable - les Etats étrangers n'ayant pas de "domicile en Suisse" au sens de ladite norme (GILLIÉRON, op. cit., n° 56 ad art. 271 LP et l'arrêt cité) - et avait rendu obsolètes (à compter du 1 er janvier 1997) les principes dégagés par le Tribunal fédéral en matière d'immunité d'exécution. C'est l'avis d'une partie de la doctrine (par exemple: DALLÈVES, Le séquestre, FJS n° 740, 1999, p. 10; cf. aussi: ARTHO VON GUNTEN, op. cit., p. 133, avec d'autres références); en revanche, dans un arrêt longuement motivé, le Tribunal supérieur zurichois a jugé que l'exigence d'un "rattachement suffisant" avec la Suisse, comme condition du "Staatenarrest", demeurait valable sous l'empire du BGE 135 III 608 S. 611 nouveau droit, même si le créancier séquestrant se trouve au bénéfice d'un titre exécutoire (arrêt du 12 mars 1998, cité par BREITSCHMID, Übersicht zur Arrestbewilligungspraxis nach revidiertem SchKG, in AJP 1999 p. 1007 ss, spéc. 1019 ss; idem: MEIER-DIETERLE, in Kurzkommentar SchKG, 2009, n° 35 ad art. 271 LP ). Comme cette question est controversée, l'on ne saurait parler d'un principe juridique clair et incontesté que l'autorité précédente aurait arbitrairement violé (cf. supra, consid. 1.2; par exemple: ATF 126 III 438 consid. 4b in fine p. 444). Cette solution vaut mutatis mutandis pour les "reconnaissances de dette" souscrites par l'intimée sous forme d'effets de change. C'est en vain que la recourante affirme que la décision attaquée serait incompatible avec la Convention de Lugano. D'une part, il ne s'agit pas là d'un grief tiré de la violation d'un "droit constitutionnel" au sens de l' art. 98 LTF (cf. supra, consid. 1.2). D'autre part, comme le souligne à juste titre l'intimée, même lorsque la Convention de Lugano (RS 0.275.11) s'applique, les conditions d'un séquestre ordonné en Suisse sont exclusivement régies par la législation helvétique ( ATF 126 III 156 consid. 2c p. 159 et les citations). Le grief s'avère ainsi mal fondé dans la mesure où il est recevable.</w:t>
      </w:r>
    </w:p>
    <w:p>
      <w:r>
        <w:rPr>
          <w:b/>
        </w:rPr>
        <w:t>E. 4.4</w:t>
      </w:r>
    </w:p>
    <w:p>
      <w:r>
        <w:t>Au terme d'une longue discussion, la recourante fait encore valoir que la Cour de justice est tombée dans l'arbitraire en considérant que l'intimée était habilitée à invoquer une quelconque immunité. D'après la jurisprudence, les corporations dotées selon le droit de leur siège d'une personnalité juridique propre ne peuvent pas se prévaloir de l'immunité dont bénéficient les Etats étrangers; des exceptions à ce principe ne sont admises que si ces corporations ont agi en vertu d'un pouvoir de souveraineté ( ATF 110 Ia 43 ; cf. en outre: KREN KOSTKIEWICZ, Staatenimmunität im Erkenntnis- und im Vollstreckungsverfahren nach schweizerischem Recht, 1998, p. 356 ss et les citations). En revanche, cette problématique ne se pose pas pour les organismes étatiques qui ne jouissent pas de la personnalité morale, car c'est alors l'Etat qui agit (EGLI, L'immunité de juridiction et d'exécution des Etats étrangers et de leurs agents dans la jurisprudence du Tribunal fédéral, in Centenaire de la LP, 1989, p. 201 ss, spéc. 213 ch. VI in fine et l'arrêt cité). Dans son exposé des faits, la recourante allègue que l'intimée dispose d'une "personnalité juridique propre" (ch. 14), alors que BGE 135 III 608 S. 612 l'arrêt attaqué indique simplement qu'elle est la banque centrale de l'Etat Y. ( art. 105 al. 1 LTF ), sans qu'il soit prétendu qu'une pareille constatation serait arbitrairement lacunaire ( art. 9 Cst. en relation avec l' art. 98 LTF ; ATF 133 III 393 consid. 7.1 p. 398). Pour le surplus, la recourante se livre à une critique appellatoire, partant irrecevable ( ATF 133 III 589 consid. 2 p. 591/592), de la décision déférée, sans démontrer en quoi l'intimée ne serait pas admise à objecter l'absence d'un rattachement suffisant avec la Suisse (GILLIÉRON, op. cit., n° 119 ad art. 271 LP ); quant à l'arrêt mentionné, le Tribunal fédéral ne s'est pas dispensé d'examiner cette question parce qu'elle était "dénuée de pertinence", mais bien parce qu'une "Binnenbeziehung" du rapport de droit litigieux avec la Suisse faisait incontestablement défaut en l'espèce ( ATF 110 Ia 43 consid. 4a p. 44 in fine). Au demeurant, l'extension de l'immunité d'exécution aux actes accomplis iure gestionis qui n'ont pas de rapport étroit avec la Suisse peut se justifier par de bons arguments (cf. sur ce point: EGLI, op. cit., p. 209/210 et les citations); or, ces considérations valent aussi pour les banques centrales (sic: KRAFFT, Les traités internationaux sont réservés, in Centenaire de la LP, 1989, p. 161 ss, spéc. 167 let. c, qui observe que les séquestres frappant leurs avoirs "sont susceptibles de perturber gravement le trafic international des paiements et, partant, les relations internationales").</w:t>
      </w:r>
    </w:p>
    <w:p>
      <w:r>
        <w:rPr>
          <w:b/>
        </w:rPr>
        <w:t>E. 4.5</w:t>
      </w:r>
    </w:p>
    <w:p>
      <w:r>
        <w:t>S'agissant de la condition relative au "rattachement suffisant de la prétention déduite en poursuite avec la Suisse", l'autorité précédente a considéré en bref que ni l'intervention de la SGS dans le contrôle de la qualité des marchandises, ni l'activité de Z. SA dans le financement des opérations - en dépit du droit de gage qu'elle a revendiqué sur les avoirs séquestrés - ne constituaient des critères de rattachement décisifs. A ses yeux, seul le lieu d'exécution en Suisse pourrait représenter un rattachement territorial pertinent; or, le simple versement du prix de la transaction sur un compte bancaire en Suisse ne suffit pas. Par ailleurs, le choix d'un paiement en Suisse ne ressort que d'un courrier du 15 août 2008 - à savoir une lettre par laquelle la recourante a sommé l'intimée de verser la somme à laquelle elle avait été condamnée le 5 janvier 1993 sur le compte bancaire d'une étude d'avocats à Zurich - et aucune autre pièce n'indique que la recourante aurait fait ce choix précédemment; au surplus, on peut se demander si cette option n'a pas été prise pour les besoins de la cause, vu l'échec des procédures menées contre la débitrice au Royaume-Uni. BGE 135 III 608 S. 613 La recourante ne discute aucunement cette appréciation, mais se borne à exposer sa propre argumentation, énumérant derechef les éléments qu'elle avait présentés en instance cantonale; appellatoire, le grief est dès lors irrecevable dans cette mesure ( art. 106 al. 2 LTF ; ATF 133 III 589 consid. 2 p. 591/592). De surcroît, elle ne s'en prend pas au motif supplémentaire de l'autorité précédente concernant le lieu d'exécution de l'obligation ( ATF 133 IV 119 ). Quoi qu'il en soit, ce moyen repose sur des prémisses erronées. Il est vrai que la notion de "lien suffisant" au sens de l' art. 271 al. 1 ch. 4 LP ne doit pas être comprise de façon restrictive ( ATF 124 III 219 consid. 3 p. 220); toutefois, cette notion ne s'identifie pas entièrement avec celle du "rattachement suffisant" requis en l'occurrence, dont l'interprétation est plus étroite (arrêt du Tribunal supérieur zurichois du 22 mars 2000, in ZR 99/2000 n° 112 p. 303 let. d; MEIER-DIETERLE, op. cit., n° 36 ad art. 271 LP ; STOFFEL/CHABLOZ, op. cit., n° 75 ad art. 271 LP ; WALTER, Internationales Zivilprozessrecht der Schweiz, 4 e éd., 2007, p. 76 note 50). Le Tribunal fédéral a jugé qu'un rattachement suffisant devait être admis, notamment, lorsque le rapport d'obligation doit être exécuté en Suisse ( ATF 134 III 122 consid. 5.2.2 p. 128). Cette jurisprudence doit être explicitée en ce sens qu'une clause générale qui n'indique ni une localité en Suisse, ni la Suisse comme telle, mais laisse au créancier toute liberté de désigner le lieu où il entend recevoir le paiement de sa créance ne permet pas d'admettre que les parties seraient convenues que l'exécution aurait lieu en Suisse; une pareille clause, qui permet de rattacher le lieu d'exécution à n'importe quel pays, ne constitue pas un lien particulier avec la Suisse ( ATF 82 I 75 consid. 11 p. 92). Sur le vu des constatations, non critiquées, de l'autorité précédente, la décision attaquée ne saurait être qualifiée d'insoutenable.</w:t>
      </w:r>
    </w:p>
    <w:p>
      <w:r>
        <w:rPr>
          <w:b/>
        </w:rPr>
        <w:t>E. 4.6</w:t>
      </w:r>
    </w:p>
    <w:p>
      <w:r>
        <w:t>Vu ce qui précède, il devient superflu de connaître des critiques de la recourante contre le motif pris de la notification irrégulière de l'acte introductif d'instance (cf. consid. 1.4.1 non publié; ATF 133 III 221 consid. 7 p. 228; ATF 130 III 321 consid. 6 p. 328; ATF 104 Ia 381 consid. 6a p. 392).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