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537</w:t>
      </w:r>
    </w:p>
    <w:p>
      <w:r>
        <w:t>Bundesgericht (BGE), 2009-06-10, FR</w:t>
      </w:r>
    </w:p>
    <w:p>
      <w:r>
        <w:rPr>
          <w:b/>
        </w:rPr>
        <w:t xml:space="preserve">Quelle: </w:t>
      </w:r>
      <w:r>
        <w:t>https://mcp.opencaselaw.ch/entscheid/bge_BGE_135_III_537</w:t>
      </w:r>
    </w:p>
    <w:p>
      <w:r>
        <w:t>FR: ATF 135 III 537</w:t>
      </w:r>
    </w:p>
    <w:p>
      <w:r>
        <w:t>IT: DTF 135 III 537</w:t>
      </w:r>
    </w:p>
    <w:p>
      <w:pPr>
        <w:pStyle w:val="Heading2"/>
      </w:pPr>
      <w:r>
        <w:t>Regeste</w:t>
      </w:r>
    </w:p>
    <w:p>
      <w:r>
        <w:t>Regeste Art. 23 ff. OR; Irrtum über die Fläche von vermieteten Geschäftsräumen. Wenn der Mietzins nach den Quadratmetern der Räume bestimmt wurde, kann eine Flächendifferenz von über 40 m 2 im Verhältnis zur im Vertrag angegebenen Fläche nicht darauf schliessen lassen, der Mieter habe dieser Angabe keine Bedeutung zugemessen (E. 2).</w:t>
      </w:r>
    </w:p>
    <w:p>
      <w:r>
        <w:t>Regeste Art. 23 ss CO; erreur sur la surface de locaux commerciaux remis à bail. Lorsque le loyer a été fixé en fonction des mètres carrés des locaux pris à bail, une différence de surface de plus de 40 m 2 par rapport à la surface indiquée dans le contrat de bail ne permet pas de supposer que le locataire n'attachait aucune importance à cette donnée (consid. 2).</w:t>
      </w:r>
    </w:p>
    <w:p>
      <w:r>
        <w:t>Regesto Art. 23 segg. CO; errore sulla superficie di locali commerciali dati in locazione. Qualora il canone di locazione sia stato fissato in funzione dei metri quadrati dei locali presi in locazione, una differenza di superficie superiore a 40 m 2 rispetto a quella indicata nel contratto di locazione non permette di supporre che per il conduttore questo dato non avesse alcuna importanza (consid. 2).</w:t>
      </w:r>
    </w:p>
    <w:p>
      <w:pPr>
        <w:pStyle w:val="Heading2"/>
      </w:pPr>
      <w:r>
        <w:t>Erwägungen</w:t>
      </w:r>
    </w:p>
    <w:p>
      <w:r>
        <w:rPr>
          <w:b/>
        </w:rPr>
        <w:t>E. 2</w:t>
      </w:r>
    </w:p>
    <w:p>
      <w:r>
        <w:t>et que le loyer a été arrêté sur la base approximative d'un prix de 197 fr. le mètre carré, l'écart en valeur est d'environ 8'200 fr. par an. Il est insoutenable de penser que l'exploitant d'une petite entreprise est indifférent à l'idée de payer 8'200 fr. de trop par année. Rien ne permet de supposer que le locataire n'attachait aucune importance à la surface qui lui était indiquée pour apprécier le montant du loyer demandé. On doit bien au contraire reconnaître qu'une telle différence était aussi subjectivement essentielle. Partant, il sied d'admettre - contrairement à la cour cantonale - que le locataire a invalidé partiellement le contrat pour cause d'erreur essentielle au sens de l' art. 24 al. 1 ch. 4 CO . Les calculs effectués par les juges de première instance pour réajuster les loyers convenus en fonction de la surface effective et pour déterminer ainsi le trop-perçu à restituer n'ont été critiqués par aucune des parties devant le Tribunal fédéral, de sorte qu'il suffit d'en revenir au jugement de première instance. La cause sera renvoyée à l'autorité précédente pour déterminer à nouveau les frais et dépens de la procédure cantonale, puisque l'abandon de certaines conclusions - que le Tribunal fédéral n'a pas dû examiner - peut poser problème.</w:t>
      </w:r>
    </w:p>
    <w:p>
      <w:r>
        <w:rPr>
          <w:b/>
        </w:rPr>
        <w:t>E. 2.1</w:t>
      </w:r>
    </w:p>
    <w:p>
      <w:r>
        <w:t>Selon l' art. 23 CO , le contrat n'oblige pas celle des parties qui, au moment de le conclure, était dans une erreur essentielle. Les cas d'erreur essentielle sont énumérés à l' art. 24 CO . L'erreur de calcul, dont parle l' art. 24 al. 3 CO , ne vise que l'hypothèse d'une erreur commune aux deux parties, résultant d'une pure inadvertance dans les opérations arithmétiques, alors qu'en réalité elles sont d'accord sur les prestations dues; ce cas de figure ne concerne pas l'hypothèse où, comme c'est le cas en l'espèce, une partie accepte de conclure le contrat à certaines conditions en étant dans l'erreur sur les surfaces qui lui sont en réalité vendues ou louées ( ATF 119 II 341 consid. 2 p. 343; ATF 116 II 685 consid. 2b/bb p. 688). Il ne s'agit pas non plus d'une erreur sur l'étendue des prestations, dont parle l' art. 24 al. 1 ch. 3 CO , puisque le locataire connaissait les locaux qu'il louait et le montant du loyer qu'il devait payer. Le locataire fait valoir qu'il ignorait la surface réelle des locaux (c'est-à-dire qu'il était dans l'erreur sur un fait existant) et qu'il a été amené ainsi à accepter un loyer auquel il n'aurait pas consenti s'il avait connu la situation réelle; il se prévaut donc d'une erreur portant sur un fait que la loyauté commerciale permettait de considérer comme un élément nécessaire du contrat au sens de l' art. 24 al. 1 ch. 4 CO (cf. ATF 129 III 363 consid. 5.3 p. 365; ATF 119 II 341 consid. 2 p. 343).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 art. 31 al. 1 et 2 CO ). Déterminer à quel moment une partie a découvert son erreur et quand elle a manifesté sa volonté d'invalider le contrat sont des questions de fait qui lient le Tribunal fédéral ( art. 105 al. 1 LTF ). Il a été constaté in casu que le locataire avait manifesté sa volonté d'invalider partiellement le bail dans BGE 135 III 537 S. 541 l'année à compter de la découverte de son erreur; sur la base d'un tel état de fait, il n'est pas douteux que l'invalidation est intervenue en temps utile. Il a d'autre part été relevé que le locataire, après avoir découvert la réalité, n'a, à aucun moment, manifesté la volonté de maintenir le contrat, de sorte qu'il apparaît d'emblée, sur la base de ces données factuelles liant le Tribunal fédéral, qu'il n'y a pas eu de ratification malgré l'erreur intervenue et qu'il n'y a donc pas à raisonner avec les règles sur les défauts initiaux de la chose louée au sens de l' art. 258 CO . Bien que les dispositions sur les vices du consentement ne contiennent pas de règle analogue à celle figurant à l' art. 20 al. 2 CO , la jurisprudence a admis qu'une invalidation partielle est possible lorsque la prestation affectée du vice est divisible et que l'on peut admettre que les deux parties auraient conclu le contrat avec une prestation réadaptée pour tenir compte de ce vice ( ATF 130 III 49 consid. 3.2 p. 56 et les arrêts cités). Dès l'instant où il a été constaté en l'espèce que la bailleresse partait de l'idée qu'un loyer annuel d'environ 197 fr. au mètre carré était adéquat, un réajustement du loyer en fonction des surfaces réelles est assurément possible. Selon l'arrêt déféré, la différence entre la surface indiquée et la surface réelle n'était pas perceptible de visu (ce qui distingue le cas de celui cité par la cour cantonale, arrêt du Tribunal fédéral 4A_408/2007 du 7 février 2008 consid. 3.3); il a en outre été déjà jugé que le locataire n'était pas tenu de contrôler les surfaces indiquées en les mesurant lui-même (arrêt 4C.5/2001 du 16 mars 2001 consid. 3a); en conséquence, il est évident que l'on ne se trouve pas en présence d'une erreur commise par négligence au sens de l' art. 26 CO , si bien que toute prétention en dommages-intérêts de ce chef est d'emblée exclue.</w:t>
      </w:r>
    </w:p>
    <w:p>
      <w:r>
        <w:rPr>
          <w:b/>
        </w:rPr>
        <w:t>E. 2.2</w:t>
      </w:r>
    </w:p>
    <w:p>
      <w:r>
        <w:t>Le point à trancher est donc de savoir si l'on se trouve en présence d'une erreur portant sur un fait que la loyauté commerciale permettait de considérer comme un élément nécessaire du contrat au sens de l' art. 24 al. 1 ch. 4 CO .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BGE 135 III 537 S. 542 de la partie qui était dans l'erreur, que l'on puisse admettre subjectivement que son erreur l'a effectivement déterminée à conclure le contrat ou à le conclure aux conditions convenues ( ATF 132 III 737 consid. 1.3 p. 741; ATF 129 III 363 consid. 5.3 p. 365). Ce que les parties avaient à l'esprit au moment de conclure ressortit au fait; relève en revanche du droit la qualification d'essentielle au sens de l' art. 24 al. 1 ch. 4 CO de l'erreur constatée ( ATF 113 II 25 consid. 1a p. 27).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(cf. arrêt 4C.5/2001 du 16 mars 2001 consid. 3a). Cela vaut d'autant plus dans le domaine des locaux commerciaux, qui sont constamment évalués et comparés en fonction du prix au mètre carré. L'art. 11 al. 2 de l'ordonnance du 9 mai 1990 sur le bail à loyer et le bail à ferme d'habitations et de locaux commerciaux (OBLF; RS 221.213.11) prévoit d'ailleurs expressément que le loyer usuel au sens de l' art. 269a let. a CO peut être déterminé sur la base du prix au mètre carré usuel dans le quartier pour des objets semblables. L'intimée serait d'ailleurs d'autant plus mal placée pour contester l'importance de cet élément qu'elle l'a fait figurer dans le contrat et qu'elle admet elle-même que le loyer proposé a été déterminé en fonction des mètres carrés. La surface louée, en tant que critère déterminant pour fixer le loyer, était donc un fait que la loyauté commerciale permettait objectivement de considérer comme un élément nécessaire du contrat. Il est vrai que le contrat n'indiquait qu'une surface approximative. Cette réserve doit être interprétée selon le principe de la confiance (cf. ATF 132 III 24 consid. 4 p. 27/28). Elle doit être comprise de bonne foi en ce sens que le bailleur, sachant que la détermination exacte de la surface est dans la réalité une opération difficile, a cherché à se protéger contre une réclamation qui procéderait d'une menue divergence de calcul. Or il n'y a rien de tel en l'espèce. La surface réelle est de 204,20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