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464</w:t>
      </w:r>
    </w:p>
    <w:p>
      <w:r>
        <w:t>Bundesgericht (BGE), 2009-05-06, DE</w:t>
      </w:r>
    </w:p>
    <w:p>
      <w:r>
        <w:rPr>
          <w:b/>
        </w:rPr>
        <w:t xml:space="preserve">Quelle: </w:t>
      </w:r>
      <w:r>
        <w:t>https://mcp.opencaselaw.ch/entscheid/bge_BGE_135_III_464</w:t>
      </w:r>
    </w:p>
    <w:p>
      <w:r>
        <w:t>FR: ATF 135 III 464</w:t>
      </w:r>
    </w:p>
    <w:p>
      <w:r>
        <w:t>IT: DTF 135 III 464</w:t>
      </w:r>
    </w:p>
    <w:p>
      <w:pPr>
        <w:pStyle w:val="Heading2"/>
      </w:pPr>
      <w:r>
        <w:t>Regeste</w:t>
      </w:r>
    </w:p>
    <w:p>
      <w:r>
        <w:t>Regeste Art. 235 SchKG; erste Gläubigerversammlung. Erfordernis und Prüfung der schriftlichen Vollmacht des Gläubigervertreters zur Teilnahme an der Gläubigerversammlung (E. 3).</w:t>
      </w:r>
    </w:p>
    <w:p>
      <w:r>
        <w:t>Regeste Art. 235 LP; première assemblée des créanciers. Exigence et contrôle de la procuration écrite du représentant des créanciers pour participer à l'assemblée des créanciers (consid. 3).</w:t>
      </w:r>
    </w:p>
    <w:p>
      <w:r>
        <w:t>Regesto Art. 235 LEF; prima assemblea dei creditori. Esigenza ed esame della procura scritta del rappresentante dei creditori per partecipare all'assemblea dei creditori (consid. 3).</w:t>
      </w:r>
    </w:p>
    <w:p>
      <w:pPr>
        <w:pStyle w:val="Heading2"/>
      </w:pPr>
      <w:r>
        <w:t>Erwägungen</w:t>
      </w:r>
    </w:p>
    <w:p>
      <w:r>
        <w:rPr>
          <w:b/>
        </w:rPr>
        <w:t>E. 3.1</w:t>
      </w:r>
    </w:p>
    <w:p>
      <w:r>
        <w:t>Gemäss Art. 235 Abs. 2 SchKG entscheidet das Büro der ersten Gläubigerversammlung über die Zulassung von Personen, BGE 135 III 464 S. 466 welche, ohne besonders eingeladen zu sein, an den Verhandlungen teilnehmen wollen. Zulassungs- bzw. Nichtzulassungsentscheide können unter gewissen Voraussetzungen bei der Aufsichtsbehörde angefochten werden ( BGE 86 III 94 E. 2 und 3 S. 96). Dass diese Voraussetzungen vorliegend erfüllt sind, wird von der Vorinstanz nicht in Frage gestellt. Aufgrund der Angaben im Protokoll der Gläubigerversammlung würde die Zulassung der - durch die umstrittenen Vollmachten angeblich vertretenen - Gläubiger das Ergebnis der Abstimmung in der Tat beeinflussen. Weiter steht fest, dass der Beschwerdeführer die Nichtzulassung der von ihm angeblich vertretenen Gläubiger bereits an der Gläubigerversammlung beanstandet hat. Sodann ist die Beschwerdelegitimation des Beschwerdeführers unstrittig, zumal er (bzw. sein Einzelunternehmen F.) im Verzeichnis der Forderungseingaben aufgeführt ist (vgl. BGE 86 III 94 E. 4 S. 98).</w:t>
      </w:r>
    </w:p>
    <w:p>
      <w:r>
        <w:rPr>
          <w:b/>
        </w:rPr>
        <w:t>E. 3.2</w:t>
      </w:r>
    </w:p>
    <w:p>
      <w:r>
        <w:t>An der ersten Gläubigerversammlung sind in der Regel dringende Entscheide zu fällen (vgl. Art. 238 SchKG ). Mit Bezug auf das Erreichen des Quorums nach Art. 235 Abs. 3 SchKG und die einzelnen Abstimmungs- und Wahlergebnisse an der ersten Gläubigerversammlung dürfen keine Unsicherheiten bestehen bleiben. Zudem werden die Entscheidungen der ersten Gläubigerversammlung durch Personen getroffen, die lediglich behaupten, Gläubiger des Gemeinschuldners zu sein. Eine Überprüfung der Gläubigereigenschaft findet erst später bei der Erwahrung der Konkursforderungen gemäss Art. 244 ff. SchKG statt. Die bestehende Ungewissheit, ob den an der ersten Gläubigerversammlung teilnehmenden Gläubigern diese Eigenschaft wirklich zukommt, wird noch dadurch verstärkt, dass nicht nur die eingeladenen, mutmasslichen Gläubiger teilnehmen können, sondern auch weitere Personen. Umso notwendiger ist es, dass über allfällige Vertretungsverhältnisse kein Zweifel besteht, damit das Büro gemäss Art. 235 Abs. 2 SchKG rasch einen klaren Entscheid über die Zulassung fällen kann. Dies bedeutet aber nichts anderes, als dass jemand, der vorgibt, andere Gläubiger zu vertreten, sich hierüber mit einer eindeutigen schriftlichen Vollmacht ausweisen muss (Urteile B.59/1986 vom 14. April 1986 E. 2a; 5A_119/2008 vom 3. November 2008 E. 3.3; vgl. RUSSENBERGER, in: Kommentar zum Bundesgesetz über Schuldbetreibung und Konkurs, Bd. III, 1998, N. 16 zu Art. 235 SchKG ; GILLIÉRON, Commentaire de la loi fédérale sur la poursuite pour dettes et la faillite, Bd. III, 2001, N. 15 zu Art. 235 SchKG ). Die von einem BGE 135 III 464 S. 467 Gläubigervertreter vorgelegte Vollmacht ist vom Büro genau (nicht bloss summarisch) zu prüfen (MARTZ, Die Gläubigerversammlung im Konkurs- und Nachlassverfahren, BlSchK 1950 S. 99 f.).</w:t>
      </w:r>
    </w:p>
    <w:p>
      <w:r>
        <w:rPr>
          <w:b/>
        </w:rPr>
        <w:t>E. 3.3</w:t>
      </w:r>
    </w:p>
    <w:p>
      <w:r>
        <w:t>Der Beschwerdeführer macht geltend, dass die Vollmachten vor sechs bis sieben Jahren ausgestellt worden seien, ändere nichts an deren Wirkung, zumal das Auftragsverhältnis zwischen ihm und seinen Kunden eine interne Angelegenheit sei und sich aus dem Wortlaut der Vollmacht keine Beschränkung ableiten lasse. Umstritten ist vorliegend, ob die vom Beschwerdeführer vorgelegten schriftlichen Vollmachten seine Vertretungsmacht zur Teilnahme an der Gläubigerversammlung hinreichend ausweisen.</w:t>
      </w:r>
    </w:p>
    <w:p>
      <w:r>
        <w:rPr>
          <w:b/>
        </w:rPr>
        <w:t>E. 3.3.1</w:t>
      </w:r>
    </w:p>
    <w:p>
      <w:r>
        <w:t>Was der Beschwerdeführer vorbringt, geht in weiten Teilen an der Sache vorbei. Vorliegend geht es einzig um die Vollmachtkundgabe. Gemeint ist damit die Mitteilung des Vollmachtgebers an einen Dritten, er habe Vollmacht erteilt. Welchen Inhalt eine Vollmachtsmitteilung hat, ob überhaupt eine solche vorliegt und allenfalls gegenüber wem, entscheidet sich nach Vertrauensprinzip, sofern nicht erwiesen ist, dass der Dritte den tatsächlichen Willen des Vertretenen erkannt hat (KOLLER, Schweizerisches Obligationenrecht, 3. Aufl. 2009, § 18 Rz. 16, § 19 Rz. 7). Dass das Büro der ersten Gläubigerversammlung den tatsächlichen Willen der nicht zugelassenen Gläubiger kannte, behauptet der Beschwerdeführer nicht. Zu prüfen ist, ob das Büro gestützt auf die vorgelegten schriftlichen Vollmachten nach Treu und Glauben einen Ausweis über die Vertretungsmacht zur Teilnahme an der Gläubigerversammlung verneinen durfte.</w:t>
      </w:r>
    </w:p>
    <w:p>
      <w:r>
        <w:rPr>
          <w:b/>
        </w:rPr>
        <w:t>E. 3.3.2</w:t>
      </w:r>
    </w:p>
    <w:p>
      <w:r>
        <w:t>Nach dem angefochtenen Entscheid hat das Büro der ersten Gläubigerversammlung nur diejenigen 11 Gläubiger zugelassen, welche den Beschwerdeführer nach der Konkurseröffnung schriftlich bevollmächtigt haben und in deren Vollmacht der Konkurs über die A. ausdrücklich erwähnt wird. Diese Differenzierung hat das Büro getroffen, weil die früheren, abgelehnten Vollmachten nur die Zusammenarbeit mit dem "Betreibungsamt" erwähnen und der Umfang der Vollmachten derart weit gefasst ist (Aufhebung des Datenschutzes gegenüber der Krankenkasse, Aufhebung des Arztgeheimnisses etc.). Das Konkursamt hat dem Beschwerdeführer allerdings bereits mit Schreiben vom 11. September 2007 Zweifel über die Tragweite der Vollmachten mitgeteilt und ihm die vorgängige Prüfung angeboten. In der Folge hat der Beschwerdeführer sich denn BGE 135 III 464 S. 468 auch 11 aktualisierte Spezialvollmachten besorgt. Aufgrund der verschiedenen Reaktion der angeblichen Vollmachtgeber (u.a. telefonischer Widerruf der Vollmachten) hat das Büro auf die aktualisierten schriftlichen Vollmachten abgestellt. Zudem hat die Krankenkasse A. am 5. August 2002 die Versicherungsnehmer darauf hingewiesen, dass sie die Inkasso-Vollmachten nicht anerkennen könne, und hat das Bundesamt für Sozialversicherung gegen den Beschwerdeführer am 4. Dezember 2002 Strafanzeige wegen Verstosses gegen das Versicherungsaufsichtsgesetzes erstattet. Nach Auffassung der Aufsichtsbehörde hat unter diesen Umständen das Büro der Gläubigerversammlung nicht ausschliessen können, dass viele angebliche Vollmachtgeber ihren Auftrag an den Beschwerdeführer, ihre Krankenkassenprämien entgegenzunehmen und diese an die Krankenkasse A. weiterzuleiten, widerrufen hätten.</w:t>
      </w:r>
    </w:p>
    <w:p>
      <w:r>
        <w:rPr>
          <w:b/>
        </w:rPr>
        <w:t>E. 3.3.3</w:t>
      </w:r>
    </w:p>
    <w:p>
      <w:r>
        <w:t>Entgegen der Meinung des Beschwerdeführers besteht nach dem Wortlaut der Vollmacht kein Hinweis auf das Konkursverfahren, sondern spricht diese lediglich von der "Zusammenarbeit" mit dem "Betreibungsamt". Er stellt nicht in Frage, dass der Vollmachtgeber sich darauf verlassen können soll, dass der Vertreter sich an den Wortlaut der schriftlichen Vollmacht halte. Sodann übergeht der Beschwerdeführer, dass für das Büro der Gläubigerversammlung weitere Anhaltspunkte feststanden, welche den hinreichenden Ausweis der Vertretungsmacht in Frage stellten, zumal - wie die obere Aufsichtsbehörde zu Recht festgehalten hat - bei langer Untätigkeit des Vertreters und bei wesentlicher Veränderung der Verhältnisse die Vollmacht erlöschen kann (vgl. ZÄCH, Berner Kommentar, 3. Aufl. 1990, N. 14 der Vorbem. zu Art. 34-35 OR ). Vor dem Hintergrund insbesondere der eingeräumten globalen Befugnisse gegenüber Ärzten und Krankenkasse einerseits und der seit der Ausstellung der Vollmachten eingetretenen Umstände (wie die Einleitung des Strafverfahrens gegen den Beschwerdeführer) sowie des telefonischen Widerrufs eines Teils von Vollmachtskundgaben andererseits ist nicht zu beanstanden, wenn das Büro vorsichtshalber nur auf die aktuellen bzw. aktualisierten schriftlichen Vollmachten abgestellt und nur die insoweit durch den Beschwerdeführer vertretenen Gläubiger zugelassen hat. Die Auffassung der oberen Aufsichtsbehörde, das Büro habe gestützt auf den Inhalt der umstrittenen Schriftstücke in guten Treuen keinen hinreichenden, eindeutigen Ausweis über die Vertretungsmacht des Beschwerdeführers zur Teilnahme an der Gläubigerversammlung erblicken müssen, ist mit BGE 135 III 464 S. 469 Art. 235 Abs. 2 SchKG vereinbar. Insoweit liegt keine Rechtsverletzung vor.</w:t>
      </w:r>
    </w:p>
    <w:p>
      <w:r>
        <w:rPr>
          <w:b/>
        </w:rPr>
        <w:t>E. 3.3.4</w:t>
      </w:r>
    </w:p>
    <w:p>
      <w:r>
        <w:t>Die weiteren Vorbringen des Beschwerdeführers vermögen an diesem Ergebnis nichts zu ändern. Er bringt vor, dass die Rechtssicherheit ein "Vertrauenmüssen" auf eine Vollmachtkundgabe gebiete und dass ein Dritter die Kundgabe nicht anhand von Umständen, die nur den Vollmachtgeber und Bevollmächtigten betreffen, sowie von anderweitigen "Behauptungen und Gerüchten" in Frage stelle dürfe. Der Beschwerdeführer verkennt allerdings, dass die Vollmachtsmitteilung als solche keine (gesetzliche) Vertretungsbefugnis schafft; hingegen kann der gutgläubige Dritte geschützt sein, der im Vertrauen auf eine Vollmachtskundgabe kontrahiert (vgl. Art. 33 Abs. 3, Art. 34 Abs. 3 OR ; KOLLER, a.a.O., § 18 Rz. 16, § 19 Rz. 4). Dieser Schutz ist vorliegend nicht zu erörtern, weil das Büro der ersten Gläubigerversammlung sich aus guten Gründen gerade nicht auf die umstrittenen Vollmachten gestützt hat.</w:t>
      </w:r>
    </w:p>
    <w:p>
      <w:r>
        <w:rPr>
          <w:b/>
        </w:rPr>
        <w:t>E. 3.3.5</w:t>
      </w:r>
    </w:p>
    <w:p>
      <w:r>
        <w:t>Ferner vermag der Beschwerdeführer aus dem von ihm angeführten BGE 86 III 94 ff. nichts weiter für sich abzuleiten. In diesem Urteil prüfte das Bundesgericht nicht, ob der Gläubigervertreter einen hinreichenden Ausweis über die Vertretungsmacht vorgelegt hat, sondern es erkannte, dass die Bevollmächtigung ungültig war, weil der Gläubiger sich von einem anderen die Bevollmächtigung zur Vertretung im Konkursverfahren durch die Zusicherung "besonderer Vorteile" (im konkreten Fall: unentgeltliche Arbeitsleistung eines Treuhänders) erwirkt hatte ( BGE 86 III 94 E. 5 S. 100 f.).</w:t>
      </w:r>
    </w:p>
    <w:p>
      <w:r>
        <w:rPr>
          <w:b/>
        </w:rPr>
        <w:t>E. 3.3.6</w:t>
      </w:r>
    </w:p>
    <w:p>
      <w:r>
        <w:t>Schliesslich legt der Beschwerdeführer nicht dar, inwiefern das Rechtsgleichheitsgebot (vgl. Art. 8 BV ) oder die in Art. 29 BV festgelegten Verfahrensgarantien verletzt sein sollen ( Art. 106 Abs. 2 BGG ). Von einer Verletzung des Anspruchs auf eine Entscheidbegründung (vgl. Art. 29 Abs. 2 BV ; BGE 126 I 97 E. 2b S. 102; BGE 130 II 530 E. 4.3 S. 540) kann keine Rede sein, da im angefochtenen Entscheid die Überlegungen genannt werden, von denen sich die obere Aufsichtsbehörde betreffend die Beurteilung der Gültigkeit der Vollmachten leiten liess und auf welche sie sich stützt.</w:t>
      </w:r>
    </w:p>
    <w:p>
      <w:r>
        <w:rPr>
          <w:b/>
        </w:rPr>
        <w:t>E. 3.4</w:t>
      </w:r>
    </w:p>
    <w:p>
      <w:r>
        <w:t>Nach dem Dargelegten ist mit Bundesrecht vereinbar, wenn die obere Aufsichtsbehörde zum Ergebnis gelangt ist, der Beschwerdeführer habe dem Büro der ersten Gläubigerversammlung nicht mehr als 11 hinreichende schriftliche Vollmachten anderer Gläubiger BGE 135 III 464 S. 470 vorgelegt und er habe mit insgesamt 12 Stimmen an der Gläubigerversammlung mitwirken können. Der Beschwerde ist kein Erfolg beschieden.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