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378</w:t>
      </w:r>
    </w:p>
    <w:p>
      <w:r>
        <w:t>Bundesgericht (BGE), 2009-03-11, FR</w:t>
      </w:r>
    </w:p>
    <w:p>
      <w:r>
        <w:rPr>
          <w:b/>
        </w:rPr>
        <w:t xml:space="preserve">Quelle: </w:t>
      </w:r>
      <w:r>
        <w:t>https://mcp.opencaselaw.ch/entscheid/bge_BGE_135_III_378</w:t>
      </w:r>
    </w:p>
    <w:p>
      <w:r>
        <w:t>FR: ATF 135 III 378</w:t>
      </w:r>
    </w:p>
    <w:p>
      <w:r>
        <w:t>IT: DTF 135 III 378</w:t>
      </w:r>
    </w:p>
    <w:p>
      <w:pPr>
        <w:pStyle w:val="Heading2"/>
      </w:pPr>
      <w:r>
        <w:t>Regeste</w:t>
      </w:r>
    </w:p>
    <w:p>
      <w:r>
        <w:t>Regeste Feststellungsklage; Feststellungsinteresse. Ausnahmsweise ist ein Feststellungsinteresse selbst dann gegeben, wenn eine Leistungs-, Gestaltungs- oder Unterlassungsklage zur Verfügung steht. Ausnahmesituation vorliegend verneint, da die blosse Feststellung eines Pfandrechts weder den Streit beendet noch die künftige Betreibung auf Pfandverwertung erleichtert (E. 2).</w:t>
      </w:r>
    </w:p>
    <w:p>
      <w:r>
        <w:t>Regeste Action en constatation de droit; intérêt à la constatation. Certaines circonstances exceptionnelles conduisent à admettre l'existence d'un intérêt à la constatation bien qu'une voie d'exécution soit ouverte. Circonstances niées en l'espèce, la constatation de l'existence du nantissement ne permettant pas de liquider l'ensemble du litige ni de simplifier la future poursuite en réalisation du gage (consid. 2).</w:t>
      </w:r>
    </w:p>
    <w:p>
      <w:r>
        <w:t>Regesto Azione di accertamento; interesse all'accertamento. Alcune circostanze eccezionali portano ad ammettere l'esistenza di un interesse all'accertamento nonostante sia aperta una via d'esecuzione. Nel caso concreto queste circostanze sono state negate, poiché l'accertamento dell'esistenza del pegno non permette di liquidare l'insieme del litigio né di semplificare la futura procedura di realizzazione del pegno (consid. 2).</w:t>
      </w:r>
    </w:p>
    <w:p>
      <w:pPr>
        <w:pStyle w:val="Heading2"/>
      </w:pPr>
      <w:r>
        <w:t>Erwägungen</w:t>
      </w:r>
    </w:p>
    <w:p>
      <w:r>
        <w:rPr>
          <w:b/>
        </w:rPr>
        <w:t>E. 2.1</w:t>
      </w:r>
    </w:p>
    <w:p>
      <w:r>
        <w:t>L'intimé a introduit une action en constatation de droit, demandant qu'il soit constaté qu'il est titulaire d'un droit de gage mobilier sur l'obligation hypothécaire au porteur. La recourante soutient que l'action en constatation de droit n'était pas ouverte, parce que l'intimé pouvait agir en exécution pour faire valoir son droit.</w:t>
      </w:r>
    </w:p>
    <w:p>
      <w:r>
        <w:rPr>
          <w:b/>
        </w:rPr>
        <w:t>E. 2.2</w:t>
      </w:r>
    </w:p>
    <w:p>
      <w:r>
        <w:t>Il n'existe actuellement aucune disposition de droit fédéral régissant de manière générale l'action en constatation de droit. Certes, l'art. 88 du Code de procédure civile suisse du 19 décembre 2008 (FF 2009 40) prévoit cette action, mais cette disposition n'est actuellement pas en vigueur. La jurisprudence a cependant admis que le droit fédéral régissait les conditions dans lesquelles il est possible BGE 135 III 378 S. 380 de demander au juge la constatation de l'existence ou de l'inexistence d'un droit relevant de la législation fédérale ( ATF 131 III 319 consid. 3.5 p. 324; ATF 129 III 295 consid. 2.2 p. 299; ATF 110 II 352 consid. 1 p. 353). La question soulevée ne relève donc pas de la procédure cantonale et peut être examinée ici ( art. 95 let. a LTF ).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 ATF 131 III 319 consid. 3.5 p. 324 s.; ATF 123 III 414 consid. 7b p. 429; ATF 120 II 20 consid. 3a p. 22; ATF 110 II 352 consid. 2 p. 357).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 ATF 123 III 49 consid. 1a p. 51; arrêt 4C.138/2003 du 25 août 2003 consid. 2.1, non publié in ATF 129 III 715 ). Dans ce sens, l'action en constatation de droit est subsidiaire par rapport à une action condamnatoire ou une action formatrice (cf. ATF 119 II 368 consid. 2a p. 370). Seules des circonstances exceptionnelles pourraient conduire à admettre l'existence d'un intérêt à la constatation de droit bien qu'une voie d'exécution soit ouverte ( ATF 123 III 49 consid. 1a p. 51; arrêt 4C.138/2003 déjà cité consid. 2.1). Un litige doit en principe être soumis au juge dans son ensemble par la voie de droit prévue à cet effet; le créancier qui dispose d'une action en exécution ne peut en tout cas pas BGE 135 III 378 S. 381 choisir d'isoler des questions juridiques pour les soumettre séparément au juge par la voie d'une action en constatation, comme s'il sollicitait un avis de droit.</w:t>
      </w:r>
    </w:p>
    <w:p>
      <w:r>
        <w:rPr>
          <w:b/>
        </w:rPr>
        <w:t>E. 2.3</w:t>
      </w:r>
    </w:p>
    <w:p>
      <w:r>
        <w:t>En l'espèce, l'intimé, agissant en tant que cessionnaire des droits de la société d'imprimerie, fait valoir à l'encontre du recourant la créance découlant du décompte du 2 juin 2003, approuvé par le débiteur. Cette créance, correspondant pour l'essentiel aux frais d'impression du journal, est immédiatement exigible. L'intimé, en tant que créancier cessionnaire, dispose donc, sans devoir attendre, des voies de l'exécution forcée à l'encontre du recourant, qui est le débiteur. L'intimé expose que le recourant, pour garantir le paiement des sommes qui seraient dues en relation avec le journal, lui a remis en nantissement une obligation hypothécaire au porteur émise pour l'occasion (sur ce cas de figure: ATF 105 II 183 consid. 4 p. 186 ss). Une obligation hypothécaire est un papier-valeur qui incorpore la dette reconnue, mais non pas l'hypothèque (PAUL-HENRI STEINAUER, Les droits réels, vol. III, 3 e éd. 2003, n° 2631 p. 141). Dès lors que le papier-valeur incorpore une créance, il faut en déduire que l'intimé, en parlant du nantissement, invoque un gage sur une créance au sens des art. 899 CC et 37 al. 2 LP. La remise en gage d'une obligation hypothécaire au porteur ne requiert aucune forme spéciale ( ATF 93 II 82 consid. 4 p. 86 s.). L'intimé peut ainsi introduire à l'encontre du recourant une poursuite en réalisation du gage conformément aux art. 151 ss LP . Comme l'intimé admet qu'il n'a reçu l'obligation qu'à titre pignoratif, il faut en déduire que l'émetteur est resté titulaire de la créance incorporée dans le titre ( ATF 130 III 417 consid. 3.3 p. 425). Que le recourant soit ainsi à la fois le créancier et le débiteur s'explique par le fait qu'il n'y avait, au moment de l'émission du titre, aucune créance de 200'000 fr. Selon l'état de fait retenu par la cour cantonale, il s'agissait, en s'inspirant des règles en matière hypothécaire ( art. 824 al. 1 CC ), de garantir une dette future (résultant de la publication du journal) et d'articuler, selon le principe de l' art. 794 al. 2 CC , une somme maximale garantie par l'hypothèque. Comme la cour cantonale a constaté que le recourant a cédé la propriété de l'obligation (sans remise du titre) à un tiers, il conviendra d'indiquer le nom de ce tiers en application de l' art. 151 al. 1 let. a LP . BGE 135 III 378 S. 382 Par la voie de l'opposition, il sera possible de contester aussi bien l'existence et l'étendue de la créance en poursuite que l'existence et l'étendue du gage lui-même ( ATF 119 III 100 consid. 2 p. 102; BÉNÉDICT FOEX, Commentaire de la loi fédérale sur la poursuite pour dettes et la faillite [...], 2005, n° 32 ad art. 153 LP ). Dans la mesure où le créancier poursuivant n'obtient pas la mainlevée, il pourra agir en reconnaissance de dette et/ou en constatation du gage (cf. FOEX, op. cit., n° 13 ad art. 153a LP ). Ainsi, la voie de l'exécution permet manifestement de traiter l'ensemble du litige. S'il surmonte ces écueils et si, au stade de la réalisation forcée du gage, il obtient que la créance incorporée dans le titre lui soit donnée en paiement à concurrence de la créance en poursuite ( art. 131 al. 1 LP , applicable par le renvoi de l' art. 156 al. 1 LP ), l'intimé sera alors le titulaire, à due concurrence, de la créance incorporée dans le titre et il pourra faire valoir l'hypothèque qui en est la garantie accessoire ( art. 170 al. 1 CO ) par la voie d'une poursuite subséquente en réalisation du gage immobilier. Il est vrai que la nécessité d'une double poursuite (poursuite en réalisation du gage mobilier, puis poursuite en réalisation du gage immobilier) a été critiquée en doctrine, mais cette critique ne vise que l'hypothèse - non réalisée en l'espèce - où le débiteur et le propriétaire de l'immeuble seraient une seule et même personne (ALEXANDRE BONNARD, L'obligation hypothécaire au porteur, 1955, p. 97 ss). Il résulte de ce bref survol que des voies d'exécution sont ouvertes à l'intimé pour lui permettre de faire valoir ses droits et de faire trancher l'ensemble des questions litigieuses. Il ne pouvait donc pas choisir, plutôt que de s'engager dans la procédure prévue, d'isoler la question de son droit de gage sur l'obligation hypothécaire pour la faire trancher séparément et préalablement par la voie d'une action en constatation de droit.</w:t>
      </w:r>
    </w:p>
    <w:p>
      <w:r>
        <w:rPr>
          <w:b/>
        </w:rPr>
        <w:t>E. 2.4</w:t>
      </w:r>
    </w:p>
    <w:p>
      <w:r>
        <w:t>La cour cantonale a néanmoins considéré qu'elle pouvait entrer en matière sur l'action en constatation de droit, en se fondant principalement sur un avis de doctrine selon lequel l'action est admissible lorsque l'exécution de la prestation est garantie après la constatation de droit (FABIENNE HOHL, Procédure civile, vol. I, 2001, n° 143 p. 46). Cet avis se réfère manifestement à un cas de jurisprudence ( ATF 97 II 371 consid. 2 p. 375 s.), encore récemment rappelé (arrêt BGE 135 III 378 S. 383 4C.341/2004 déjà cité consid. 2.1). Il a été admis qu'une action en constatation de droit était exceptionnellement admissible lorsqu'il s'agissait de trancher la seule question contestée et qu'il était certain, parce que le débiteur était une collectivité publique, que la prestation serait ensuite exécutée sans aucune autre forme de procédure. Les quelques exceptions admises par la jurisprudence doivent être interprétées de manière restrictive, sous peine de créer une incertitude sur la voie de droit à suivre. Il faut souligner encore une fois le principe que l'action en constatation de droit est subsidiaire par rapport à la voie de l'exécution et qu'elle n'est pas ouverte lorsqu'il est possible d'agir immédiatement en exécution et de faire régler ainsi l'ensemble des points litigieux. Seules des circonstances tout à fait exceptionnelles pourraient faire apparaître un intérêt suffisant à entrer en matière sur l'action en constatation de droit. Le cas d'espèce ne remplit nullement les conditions du précédent cité, puisqu'il n'y avait d'emblée aucune certitude que le recourant se soumette après la décision sur la constatation du droit. En l'espèce, cette conclusion est d'autant plus évidente que le recourant ne conteste pas seulement le droit de gage sur le titre, mais aussi, et peut-être principalement, l'existence de la dette abstraite incorporée dans le papier-valeur. L'intimé étant le premier porteur, des exceptions peuvent en principe lui être opposées au sujet de l'existence de la dette abstraite ( art. 979 al. 1 CO ). Or, le recourant soutient que la dette de 200'000 fr. devait se rapporter à un prêt qui n'est pas venu à chef et qu'elle n'existe pas. Sans doute dans l'espoir de faire avancer le litige, la cour cantonale s'est certes exprimée sur le but poursuivi par l'émission de l'obligation hypothécaire. Elle n'avait cependant pas à le faire dans le cadre de la question qui lui était posée et qui ne portait que sur l'existence d'un droit de gage sur l'obligation hypothécaire. Le dispositif de l'arrêt rendu, qui ne porte que sur l'existence du droit de gage, ne peut trancher avec autorité de chose jugée la question de l'existence de la créance abstraite incorporée dans le titre. Il est dès lors évident que cette procédure ne permettait pas de liquider l'ensemble du litige, ce qui exclut que l'on déroge à la règle selon laquelle la voie de l'exécution, lorsqu'elle est ouverte, doit être suivie.</w:t>
      </w:r>
    </w:p>
    <w:p>
      <w:r>
        <w:rPr>
          <w:b/>
        </w:rPr>
        <w:t>E. 2.5</w:t>
      </w:r>
    </w:p>
    <w:p>
      <w:r>
        <w:t>Il reste à examiner l'argument plus délicat selon lequel l'intimé aurait validé par avance la poursuite en réalisation du gage, en BGE 135 III 378 S. 384 exerçant par anticipation l'action en constatation de gage. Cet argument ne convainc pas. Après une poursuite infructueuse, l'intimé entendait manifestement faire valoir le droit de gage sur l'obligation. La voie prévue à cet effet, immédiatement ouverte, est la poursuite en réalisation du gage. Elle présente plusieurs avantages: le tiers devenu propriétaire du titre par cession civile peut également faire opposition; il est possible, après opposition, de soumettre au juge (que ce soit par une action en reconnaissance ou, après mainlevée, une action en libération) l'ensemble des questions litigieuses (l'existence de la créance en poursuite, l'existence du droit de gage, l'existence de l'objet du gage); elle conduit à la réalisation forcée du gage. On ne voit pas quelle simplification serait apportée en faisant d'abord trancher par le juge, entre l'intimé et le recourant, la question de l'existence du nantissement, ce d'autant plus que l'intimé ne peut espérer, en ce qui concerne la créance en poursuite, qu'une mainlevée provisoire et n'est donc de toute manière pas à l'abri d'une procédure judiciaire ultérieure (l'action en libération de dette). Sous cet angle également, la présente action en constatation de droit ne répond pas à un intérêt pratique digne de protection. Les conditions d'une action en constatation de droit n'étant pas remplies, cette action doit être déclarée irrecevable, et non pas rejetée ( ATF 123 III 49 consid. 1a p. 51). Le recours doit donc être admis, l'arrêt attaqué annulé et l'action en constatation de droit doit être déclarée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