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374</w:t>
      </w:r>
    </w:p>
    <w:p>
      <w:r>
        <w:t>Bundesgericht (BGE), 2009-03-12, DE</w:t>
      </w:r>
    </w:p>
    <w:p>
      <w:r>
        <w:rPr>
          <w:b/>
        </w:rPr>
        <w:t xml:space="preserve">Quelle: </w:t>
      </w:r>
      <w:r>
        <w:t>https://mcp.opencaselaw.ch/entscheid/bge_BGE_135_III_374</w:t>
      </w:r>
    </w:p>
    <w:p>
      <w:r>
        <w:t>FR: ATF 135 III 374</w:t>
      </w:r>
    </w:p>
    <w:p>
      <w:r>
        <w:t>IT: DTF 135 III 374</w:t>
      </w:r>
    </w:p>
    <w:p>
      <w:pPr>
        <w:pStyle w:val="Heading2"/>
      </w:pPr>
      <w:r>
        <w:t>Regeste</w:t>
      </w:r>
    </w:p>
    <w:p>
      <w:r>
        <w:t>Regeste Angabe einer unzutreffenden Beschwerdefrist in der Rechtsmittelbelehrung (Art. 49 BGG). Die rechtsunkundige Prozesspartei, die schon im kantonalen Verfahren nicht rechtskundig vertreten war und über keine einschlägige Erfahrung etwa aus früheren Verfahren verfügt, darf sich auf die im kantonalen Entscheid enthaltene unzutreffende Fristangabe (ordentliche Frist von 30 Tagen für die Beschwerde in Zivilsachen gemäss Art. 100 Abs. 1 BGG statt der nach Art. 100 Abs. 2 lit. a BGG bei Entscheiden der kantonalen Aufsichtsbehörden in Schuldbetreibungs- und Konkurssachen geltenden Frist von 10 Tagen) verlassen (E. 1.2.2).</w:t>
      </w:r>
    </w:p>
    <w:p>
      <w:r>
        <w:t>Regeste Mention d'un délai de recours inexact dans l'indication des voies de droit (art. 49 LTF). La partie sans connaissances juridiques qui, en instance cantonale déjà, n'était pas assistée par un homme de loi et qui ne dispose d'aucune expérience particulière découlant par exemple de procédures antérieures, peut se fier à l'indication inexacte du délai de recours contenue dans la décision cantonale (délai ordinaire de 30 jours pour le recours en matière civile selon l'art. 100 al. 1 LTF au lieu du délai de 10 jours de l'art. 100 al. 2 let. a LTF applicable aux décisions des autorités cantonales de surveillance en matière de poursuite pour dettes et de faillite; consid. 1.2.2).</w:t>
      </w:r>
    </w:p>
    <w:p>
      <w:r>
        <w:t>Regesto Menzione di un termine di ricorso inesatto nell'indicazione dei rimedi di diritto (art. 49 LTF). La parte senza conoscenze giuridiche, che già nella procedura cantonale non era rappresentata da una persona con cognizioni di diritto e che non dispone di una particolare esperienza sgorgante ad esempio da procedure precedenti, può fidarsi dell'indicazione inesatta del termine di ricorso contenuta nella sentenza cantonale (termine ordinario di 30 giorni per i ricorsi in materia civile secondo l'art. 100 cpv. 1 LTF invece del termine di 10 giorni applicabile nel caso di decisioni delle autorità cantonali di vigilanza in materia di esecuzione e fallimenti; consid. 1.2.2).</w:t>
      </w:r>
    </w:p>
    <w:p>
      <w:pPr>
        <w:pStyle w:val="Heading2"/>
      </w:pPr>
      <w:r>
        <w:t>Erwägungen</w:t>
      </w:r>
    </w:p>
    <w:p>
      <w:r>
        <w:rPr>
          <w:b/>
        </w:rPr>
        <w:t>E. 1.2.1</w:t>
      </w:r>
    </w:p>
    <w:p>
      <w:r>
        <w:t>(Feststellung, dass die bei Entscheiden der kantonalen Aufsichtsbehörden in Schuldbetreibungs- und Konkurssachen geltende Beschwerdefrist von zehn Tagen [ Art. 100 Abs. 2 lit. a BGG ] nicht eingehalten ist.)</w:t>
      </w:r>
    </w:p>
    <w:p>
      <w:r>
        <w:rPr>
          <w:b/>
        </w:rPr>
        <w:t>E. 1.2.2</w:t>
      </w:r>
    </w:p>
    <w:p>
      <w:r>
        <w:t>In der Rechtsmittelbelehrung des angefochtenen Entscheids wird auf die für Beschwerden an das Bundesgericht im Allgemeinen geltende Beschwerdefrist von 30 Tagen ( Art. 100 Abs. 1 BGG ) hingewiesen.</w:t>
      </w:r>
    </w:p>
    <w:p>
      <w:r>
        <w:rPr>
          <w:b/>
        </w:rPr>
        <w:t>E. 1.2.2.1</w:t>
      </w:r>
    </w:p>
    <w:p>
      <w:r>
        <w:t>Gemäss Art. 49 BGG dürfen den Parteien aus unrichtiger Rechtsmittelbelehrung keine Nachteile erwachsen. Hiermit wurde der für die (frühere) Verwaltungsgerichtsbeschwerde in Art. 107 Abs. 3 OG verankerte Grundsatz übernommen (Botschaft vom 28. Februar 2001 zur Totalrevision der Bundesrechtspflege, BBl 2001 4299 Ziff. 4.1.2.5), dem in der Praxis bereits früher allgemeine Tragweite zukam ( BGE 117 Ia 297 E. 2 S. 298 f., BGE 117 Ia 421 E. 2c S. 423 f.; je mit Hinweisen). Den erwähnten Schutz kann eine Prozesspartei nur dann beanspruchen, wenn sie sich nach Treu und Glauben auf die fehlerhafte Rechtsmittelbelehrung verlassen durfte. Wer die Unrichtigkeit erkannte oder bei gebührender Aufmerksamkeit hätte erkennen können, kann sich nicht auf Art. 49 BGG berufen, wobei allerdings nur eine grobe prozessuale Unsorgfalt der betroffenen Partei oder ihres Anwalts eine unrichtige Rechtsmittelbelehrung aufzuwiegen vermag. Der Vertrauensschutz versagt zudem nur dann, wenn der Mangel in der Rechtsmittelbelehrung für den Rechtsuchenden bzw. seinen Rechtsvertreter allein schon durch Konsultierung der massgebenden Verfahrensbestimmung ersichtlich gewesen wäre (zum Ganzen BGE 134 I 199 E. 1.3.1 S. 202 f.; BGE 129 II 125 E. 3.3 S. 134 f.; BGE 124 I 255 E. 1a/aa S. 258; BGE 117 Ia 421 E. 2a S. 422; je mit weiteren Hinweisen). Zu bedenken ist schliesslich, dass mit der in Art. 112 Abs. 1 lit. d BGG neu verankerten Pflicht der kantonalen Instanzen, ihre Entscheide mit einer Rechtsmittelbelehrung zu versehen, den Beteiligten, namentlich den nicht rechtskundig vertretenen Prozessparteien, die Aufgabe erleichtert werden sollte.</w:t>
      </w:r>
    </w:p>
    <w:p>
      <w:r>
        <w:rPr>
          <w:b/>
        </w:rPr>
        <w:t>E. 1.2.2.2</w:t>
      </w:r>
    </w:p>
    <w:p>
      <w:r>
        <w:t>Wann der Prozesspartei, die sich auf eine unrichtige Rechtsmittelbelehrung verlassen hat, eine als grob zu wertende Unsorgfalt BGE 135 III 374 S. 377 vorzuwerfen ist, beurteilt sich nach den konkreten Umständen und nach ihren Rechtskenntnissen (vgl. BGE 106 Ia 13 E. 4 S. 19). Ist sie rechtsunkundig und auch nicht rechtskundig vertreten, darf sie nicht der anwaltlich vertretenen Partei gleichgestellt werden (dazu BERNHARD EHRENZELLER, in: Basler Kommentar, Bundesgerichtsgesetz, 2008, N. 18 zu Art. 112 BGG ), es sei denn, sie verfüge namentlich aus früheren Verfahren über einschlägige Erfahrungen. Eine Überprüfung der in der Rechtsmittelbelehrung enthaltenen Angaben kann von einer Prozesspartei im Übrigen nur dann verlangt werden, wenn diese über die Kenntnisse verfügt, die es ihr überhaupt ermöglichen, die massgebende Gesetzesbestimmung ausfindig zu machen und gegebenenfalls auszulegen. Die Beschwerdeführerin ist nicht anwaltlich vertreten und war es auch im kantonalen Verfahren nicht. Anhaltspunkte dafür, dass die für sie handelnde Person über hinreichende Rechtskenntnisse verfügte oder (namentlich aufgrund früherer Verfahren) die Länge der Frist für Beschwerden gegen Entscheide der kantonalen Aufsichtsbehörden in Schuldbetreibungs- und Konkurssachen gekannt hätte oder zumindest hätte kennen müssen, sind nicht ersichtlich. Wenn die erwähnte Person unter den gegebenen Umständen den - auf die ordentliche Frist für Beschwerden in Zivilsachen ( Art. 100 Abs. 1 BGG ) hinweisenden - Angaben des Einzelrichters vertraut und diese nicht überprüft hat, liegt darin keine Unsorgfalt, die es nicht zuliesse, das Vertrauen auf die unzutreffende Rechtsmittelbelehrung zu schützen (dazu FRANÇOIS BOHNET, Schweizerische Zeitschrift für Zivilprozessrecht [SZZP] 2008 S. 22). Im Übrigen ist zu bemerken, dass die Vorinstanz den die Beschwerdefrist regelnden Art. 100 BGG nicht ausdrücklich genannt hat und dass zudem diese Bestimmung nicht für jeden juristischen Laien ohne weiteres verständlich ist.</w:t>
      </w:r>
    </w:p>
    <w:p>
      <w:r>
        <w:rPr>
          <w:b/>
        </w:rPr>
        <w:t>E. 1.2.2.3</w:t>
      </w:r>
    </w:p>
    <w:p>
      <w:r>
        <w:t>Bei einer hier durch die Zustellung des angefochtenen Entscheids am 6. November 2008 ausgelösten Frist von 30 Tagen war die Beschwerde spätestens am 8. Dezember 2008 aufzugeben, zumal der dreissigste Tag, der 6. Dezember 2008, auf einen Samstag fiel. Die am 3. Dezember 2008 der Post übergebene Beschwerde ist nach dem Gesagten als rechtzeitig eingereicht zu betrachten, so dass auf sie aus dieser Sicht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