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321</w:t>
      </w:r>
    </w:p>
    <w:p>
      <w:r>
        <w:t>Bundesgericht (BGE), 2009-01-29, FR</w:t>
      </w:r>
    </w:p>
    <w:p>
      <w:r>
        <w:rPr>
          <w:b/>
        </w:rPr>
        <w:t xml:space="preserve">Quelle: </w:t>
      </w:r>
      <w:r>
        <w:t>https://mcp.opencaselaw.ch/entscheid/bge_BGE_135_III_321</w:t>
      </w:r>
    </w:p>
    <w:p>
      <w:r>
        <w:t>FR: ATF 135 III 321</w:t>
      </w:r>
    </w:p>
    <w:p>
      <w:r>
        <w:t>IT: DTF 135 III 321</w:t>
      </w:r>
    </w:p>
    <w:p>
      <w:pPr>
        <w:pStyle w:val="Heading2"/>
      </w:pPr>
      <w:r>
        <w:t>Regeste</w:t>
      </w:r>
    </w:p>
    <w:p>
      <w:r>
        <w:t>Regeste Art. 305 Abs. 1 SchKG; Ermittlung der Mehrheiten. Wie die Forderungen von Art. 315 Abs. 1 SchKG werden bestrittene Forderungen, die bereits Gegenstand eines hängigen Prozesses sind, bei der Ermittlung der zur Annahme des Nachlassvertrages erforderlichen Mehrheiten berücksichtigt, soweit der Bestand wahrscheinlich ist (E. 3.2).</w:t>
      </w:r>
    </w:p>
    <w:p>
      <w:r>
        <w:t>Regeste Art. 305 al. 1 LP; calcul des majorités. A l'instar des créances visées à l'art. 315 al. 1 LP, les créances contestées faisant l'objet d'un procès pendant doivent être prises en considération dans le calcul des majorités requises pour l'acceptation du concordat, pour autant qu'elles soient vraisemblables (consid. 3.2).</w:t>
      </w:r>
    </w:p>
    <w:p>
      <w:r>
        <w:t>Regesto Art. 305 cpv. 1 LEF; calcolo delle maggioranze. A guisa dei crediti dell'art. 315 cpv. 1 LEF, i crediti contestati che sono oggetto di un processo pendente devono essere considerati nel calcolo delle maggioranze richieste per l'accettazione del concordato, per quanto siano verosimili (consid. 3.2).</w:t>
      </w:r>
    </w:p>
    <w:p>
      <w:pPr>
        <w:pStyle w:val="Heading2"/>
      </w:pPr>
      <w:r>
        <w:t>Erwägungen</w:t>
      </w:r>
    </w:p>
    <w:p>
      <w:r>
        <w:rPr>
          <w:b/>
        </w:rPr>
        <w:t>E. 3</w:t>
      </w:r>
    </w:p>
    <w:p>
      <w:r>
        <w:t>(...)</w:t>
      </w:r>
    </w:p>
    <w:p>
      <w:r>
        <w:rPr>
          <w:b/>
        </w:rPr>
        <w:t>E. 3.2</w:t>
      </w:r>
    </w:p>
    <w:p>
      <w:r>
        <w:t>Aux termes de l' art. 305 al. 3 LP , le juge du concordat décide si et dans quelle mesure les créances contestées ou subordonnées à une condition suspensive ou à un terme incertain doivent être comptées; le tout sous réserve des jugements qui pourront intervenir ultérieurement. A cet égard, l' art. 315 al. 1 LP prescrit au juge, en homologuant le concordat, d'assigner aux créanciers dont les réclamations sont contestées un délai de vingt jours pour intenter action au for du concordat, sous peine de perdre leur droit à la garantie de dividende. Selon GILLIÉRON, si, au moment où le sursis concordataire a été octroyé ou au moment où un sursis provisoire a été décrété, une prétention litigieuse faisait l'objet d'un procès pendant, le juge du concordat ne tiendra pas compte de cette prétention et de l'intervenant dans le calcul des majorités (GILLIÉRON, Commentaire de la loi fédérale sur la poursuite pour dettes et la faillite, vol. IV, 2003, n° 18 ad art. 305 LP ). Une telle distinction entre les créances faisant déjà l'objet d'un procès et celles appelées à le faire ne résulte pas de la loi, contrairement à d'autres qui sont expressément prévues. Ainsi, conformément à l' art. 305 al. 2 LP , les créanciers privilégiés et le conjoint ou le partenaire enregistré du débiteur ne sont comptés, ni à raison de leur personne, ni à raison de leurs créances; les créances garanties par gage ne comptent que pour le montant réputé non garanti suivant l'estimation du commissaire. Dans ces cas, l'exclusion du droit de vote est dictée par l'intérêt du créancier à l'homologation du concordat. Les créanciers privilégiés - qui doivent dans tous les cas être payés ( art. 306 al. 2 ch. 2 LP ) - et les titulaires de créances garanties par gage - qui ne sont pas soumis au concordat jusqu'à concurrence du montant couvert par leur gage ( art. 310 al. 1 LP ) - n'ont eux pas d'intérêt protégé à voter (HARDMEIER, in Kommentar zum Bundesgesetz über Schuldbetreibung und Konkurs, vol. III, 1998, n os 25 ss ad art. 305 LP ). Les titulaires de créances faisant l'objet d'un procès, qui n'entrent pas dans ces catégories, ne sont en revanche pas mieux protégés que les autres créanciers concordataires. Il n'y a par conséquent aucune raison de s'écarter du principe de l'égalité des créanciers dans le concordat ( ATF 105 III 92 consid. 2b p. 95). Partant, c'est à juste titre que l'autorité cantonale a admis que les créances contestées, indépendamment de BGE 135 III 321 S. 324 savoir si elles faisaient ou non l'objet d'un procès pendant, doivent être prises en compte pour le vote si elles sont vraisemblables.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