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289</w:t>
      </w:r>
    </w:p>
    <w:p>
      <w:r>
        <w:t>Bundesgericht (BGE), 2009-01-01, FR</w:t>
      </w:r>
    </w:p>
    <w:p>
      <w:r>
        <w:rPr>
          <w:b/>
        </w:rPr>
        <w:t xml:space="preserve">Quelle: </w:t>
      </w:r>
      <w:r>
        <w:t>https://mcp.opencaselaw.ch/entscheid/bge_BGE_135_III_289</w:t>
      </w:r>
    </w:p>
    <w:p>
      <w:r>
        <w:t>FR: ATF 135 III 289</w:t>
      </w:r>
    </w:p>
    <w:p>
      <w:r>
        <w:t>IT: DTF 135 III 289</w:t>
      </w:r>
    </w:p>
    <w:p>
      <w:pPr>
        <w:pStyle w:val="Heading2"/>
      </w:pPr>
      <w:r>
        <w:t>Regeste</w:t>
      </w:r>
    </w:p>
    <w:p>
      <w:r>
        <w:t>Regeste Art. 82 BVG; Art. 7 Abs. 1 BVV 3; Art. 46 Abs. 1 VVG; Art. 67 Abs. 1 OR; Rechtsnatur der Rückerstattungsforderung betreffend Beiträge an die gebundene individuelle berufliche Vorsorge; Verjährung des Rückforderungsanspruchs. Die Rückforderung von Beiträgen an die gebundene individuelle Vorsorge (Säule 3a) beruht auf ungerechtfertigter Bereicherung (E. 6). Die Bereicherungsklage verjährt ein Jahr ab dem Tag, an dem die versicherte Person Kenntnis hat von der durch die zuständige Steuerbehörde erstellten Bescheinigung, dass die geleisteten Beiträge den nach Art. 7 Abs. 1 BVV 3 abzugsfähigen Betrag übersteigen (E. 7.2).</w:t>
      </w:r>
    </w:p>
    <w:p>
      <w:r>
        <w:t>Regeste Art. 82 LPP; art. 7 al. 1 OPP 3; art. 46 al. 1 LCA; art. 67 al. 1 CO; nature juridique de la créance en restitution de primes de la prévoyance individuelle liée; prescription de l'action en restitution. La créance en restitution de primes de la prévoyance individuelle liée (pilier 3a) ressortit à l'enrichissement illégitime (consid. 6). L'action se prescrit par un an à compter du jour où l'assuré a connaissance du décompte établi par l'autorité fiscale compétente constatant que les primes versées excèdent le montant déductible autorisé à l'art. 7 al. 1 OPP 3 (consid. 7.2).</w:t>
      </w:r>
    </w:p>
    <w:p>
      <w:r>
        <w:t>Regesto Art. 82 LPP; art. 7 cpv. 1 OPP 3; art. 46 cpv. 1 LCA; art. 67 cpv. 1 CO; natura giuridica della pretesa in restituzione di contributi versati per la previdenza individuale vincolata; prescrizione dell'azione tendente alla restituzione. La pretesa in restituzione di contributi versati per la previdenza individuale vincolata (pilastro 3a) è fondata sull'arricchimento indebito (consid. 6). L'azione si prescrive in un anno dal giorno in cui l'assicurato ha conoscenza del conteggio emesso dall'autorità fiscale competente, attestante che i contributi versati superano l'importo deducibile ammesso a norma dell'art. 7 cpv. 1 OPP 3 (consid. 7.2).</w:t>
      </w:r>
    </w:p>
    <w:p>
      <w:pPr>
        <w:pStyle w:val="Heading2"/>
      </w:pPr>
      <w:r>
        <w:t>Erwägungen</w:t>
      </w:r>
    </w:p>
    <w:p>
      <w:r>
        <w:rPr>
          <w:b/>
        </w:rPr>
        <w:t>E. 5.1</w:t>
      </w:r>
    </w:p>
    <w:p>
      <w:r>
        <w:t>Les formes de prévoyance individuelle assimilées à la prévoyance professionnelle ( art. 82 al. 1 LPP [RS 831.40]) sont exhaustivement énumérées à l'art. 1 de l'ordonnance du 13 novembre 1985 sur les déductions admises fiscalement pour les cotisations versées à des formes reconnues de prévoyance (OPP 3;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 art. 67 al. 1 LPP , ainsi que des conventions de prévoyance liée, soit de contrats spéciaux d'épargne conclus avec des BGE 135 III 289 S. 292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aux restrictions prévues par l'OPP 3 dans le but de garantir l'objectif de prévoyance: limitation du choix des bénéficiaires (art. 2) et des possibilités de versement des prestations (art. 3), interdiction de cession et de mise en gage du droit aux prestations, sous réserve d'acquisition de la propriété du logement et de divorce (art. 4; GLADYS LAFFELY MAILLARD, in Commentaire romand, Impôt fédéral direct, 2008, n° 67 ad art. 33 LIFD [RS 642.11]).</w:t>
      </w:r>
    </w:p>
    <w:p>
      <w:r>
        <w:rPr>
          <w:b/>
        </w:rPr>
        <w:t>E. 5.2</w:t>
      </w:r>
    </w:p>
    <w:p>
      <w:r>
        <w:t>Le pilier 3a ayant pour objectif de compléter les mesures du 2 e pilier ou de s'y substituer pour les salariés et les indépendants, l'ampleur des déductions est fonction de l'affiliation ou non à une institution de prévoyance exonérée au sens de l' art. 80 al. 2 LPP . Les contributions annuelles des salariés et des indépendants assurés auprès d'une institution de prévoyance s'élèvent au maximum à 8 % du montant limite supérieur fixé à l' art. 8 al. 1 LPP ( art. 7 al. 1 let. a OPP 3 ; 6'566 fr. pour 2009), alors que pour les contribuables qui ne sont pas affiliés auprès d'une institution de prévoyance, elles peuvent s'élever au maximum à 20 % du revenu provenant d'une activité lucrative, mais au maximum jusqu'à 40 % du montant limite supérieur fixé à l' art. 8 al. 1 LPP ( art. 7 al. 1 let. b OPP 3 ; 32'832 fr. pour 2009).</w:t>
      </w:r>
    </w:p>
    <w:p>
      <w:r>
        <w:rPr>
          <w:b/>
        </w:rPr>
        <w:t>E. 5.3</w:t>
      </w:r>
    </w:p>
    <w:p>
      <w:r>
        <w:t>Les contributions annuelles au pilier 3a ne sauraient excéder les montants maximaux déductibles selon l' art. 7 OPP 3 . Cette limitation trouve sa justification dans le fait que l'argent versé au titre de la prévoyance individuelle liée n'est pas soumis à l'impôt (cantonal et communal) sur la fortune et le rendement de cet argent n'est pas soumis à l'impôt anticipé. En limitant les déductions autorisées, le législateur a voulu donner une portée nettement définie au privilège fiscal accordé au pilier 3a. Il ne s'agit donc pas seulement de limiter la déduction du revenu des montants versés pour le pilier 3a, mais également de limiter la portée de l'exonération de l'impôt anticipé et de l'impôt sur la fortune (Conférence suisse des impôts, Prévoyance et impôts, Cas d'application n° B.2.3.1; LAFFELY MAILLARD, op. cit., n° 70 ad art. 33 LIFD ; AGNER/JUNG/STEINMANN, Commentaire de la loi sur l'impôt fédéral direct, 2001, n° 18 ad art. 33 LIFD ). Tout versement excédentaire constitue par conséquent une contribution de BGE 135 III 289 S. 293 prévoyance individuelle libre (pilier 3b). Les produits mixtes d'assurance combinant piliers 3a et 3b n'étant pas admissibles (arrêt 2A.292/2006 du 15 janvier 2007 consid. 4), les versements excédentaires doivent être remboursés, sur requête de l'autorité fiscale, et ne sauraient être compensés par l'absence de versement une année précédente ni reportés sur l'année suivante. Les contributions maximales étant annuelles, il n'y a pas non plus de rachat possible des lacunes passées ou futures (RICHNER/FREI/KAUFMANN, Handkommentar zum DBG, 2003, n° 102 s. ad art. 33 LIFD ; PETER LOCHER, Kommentar zum DBG, 2001, n° 63 ad art. 33 LIFD ; MAUTE/STEINER/RUFENER, Steuern und Versicherungen, 2 e éd. 1999, p. 125). Le remboursement n'est cependant possible que pour la part épargne de la prime. La prime de risque ne peut en effet pas être remboursée, dès lors que le risque a déjà été couvert par l'assureur (Conférence suisse des impôts, op. cit., Cas d'application n° B.2.3.10).</w:t>
      </w:r>
    </w:p>
    <w:p>
      <w:r>
        <w:rPr>
          <w:b/>
        </w:rPr>
        <w:t>E. 6.1</w:t>
      </w:r>
    </w:p>
    <w:p>
      <w:r>
        <w:t>Avant de pouvoir examiner la question de savoir si l'action en restitution de primes versées à tort est prescrite, il convient d'examiner la nature de cette action, singulièrement de déterminer si celle-ci est fondée sur le contrat ou sur un enrichissement illégitime. En effet,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 art. 46 al. 1 LCA [RS 221.229.1] pour les prétentions contractuelles; art. 67 CO pour celles qui découlent de l'enrichissement illégitime; sur la question en général, ATF 133 III 356 ).</w:t>
      </w:r>
    </w:p>
    <w:p>
      <w:r>
        <w:rPr>
          <w:b/>
        </w:rPr>
        <w:t>E. 6.2</w:t>
      </w:r>
    </w:p>
    <w:p>
      <w:r>
        <w:t>Sous réserve d'un délai conventionnel plus long ( art. 98 al. 1 LCA ), les créances qui dérivent du contrat d'assurance se prescrivent par deux ans à dater du fait d'où naît l'obligation ( art. 46 al. 1, 1 re phrase, LCA). Cette disposition est applicable à toutes les créances qui, en vertu de la loi ou du contrat, ont leur source dans les BGE 135 III 289 S. 294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 art. 46 LCA (VINCENT BRULHART, Droit des assurances privées, 2008, p. 385 n. 385; CHRISTOPH GRABER, in Basler Kommentar, Bundesgesetz über den Versicherungsvertrag, 2001, n° 3 ad art. 46 LCA ; JEAN BENOÎT MEUWLY, La durée de la couverture d'assurance privée, L'échéance du contrat d'assurance et la prescription de l'article 46 alinéa 1 LCA, 1994, p. 207 s.; ROELLI/KELLER/TÄNNLER, Kommentar zum Schweizerischen Bundesgesetz über den Versicherungsvertrag, tome I, 1968, p. 664 ss). Ainsi, une créance en restitution de prestations versées à tort ne dérive pas du contrat d'assurance lui-même, mais ressortit à l'enrichissement illégitime ( ATF 42 II 674 consid. 2a p. 680). Par analogie, il y a lieu de tenir le même raisonnement s'agissant de la créance en restitution de primes versées à tort (pour un cas relatif à des primes de la prévoyance professionnelle obligatoire et surobligatoire, arrêt B 149/06 du 11 juin 2007 consid. 6.2, in SVR 2008 BVG n° 3 p. 9).</w:t>
      </w:r>
    </w:p>
    <w:p>
      <w:r>
        <w:rPr>
          <w:b/>
        </w:rPr>
        <w:t>E. 7.1</w:t>
      </w:r>
    </w:p>
    <w:p>
      <w:r>
        <w:t>Conformément à l' art. 67 CO ,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 ATF 132 V 404 consid. 3 p. 407; ATF 129 III 503 consid. 3.4 p. 505).</w:t>
      </w:r>
    </w:p>
    <w:p>
      <w:r>
        <w:rPr>
          <w:b/>
        </w:rPr>
        <w:t>E. 7.2</w:t>
      </w:r>
    </w:p>
    <w:p>
      <w:r>
        <w:t>Dans la mesure où il est exclu qu'un établissement d'assurances ou une fondation bancaire rembourse des montants versés au titre de la prévoyance individuelle liée sur simple demande du contribuable ( art. 3 OPP 3 a contrario), le remboursement de versements excédentaires ne peut intervenir que sur la base d'un décompte établi par l'autorité fiscale compétente constatant que les primes versées excèdent le montant déductible autorisé à l' art. 7 al. 1 OPP 3 et indiquant clairement le montant à rembourser (Conférence suisse des impôts, op. cit., Cas d'application n° B.2.3.10). BGE 135 III 289 S. 295</w:t>
      </w:r>
    </w:p>
    <w:p>
      <w:r>
        <w:rPr>
          <w:b/>
        </w:rPr>
        <w:t>E. 7.3</w:t>
      </w:r>
    </w:p>
    <w:p>
      <w:r>
        <w:t>En l'espèce, l'Administration fiscale cantonale de la République et canton de Genève a, le 23 février 2006, adressé au recourant un courrier l'invitant à demander dans les plus brefs délais le remboursement du montant de 12'885 fr. à l'institution de prévoyance concernée. Le moment déterminant pour le départ de la prescription annale se situait au plus tôt au moment de la réception de ce courrier par le recourant. S'il n'est pas possible de fixer précisément la date de réception, il ressort néanmoins du dossier que le recourant a pris connaissance de ce courrier au plus tard le 18 avril 2006, puisqu'il a interpellé ce jour-là l'intimée sur la teneur de cette invitation. Lorsque le recourant a, le 3 octobre 2007, introduit sa demande auprès du Tribunal cantonal des assurances sociales, la prétention en restitution des versements excédentaires qu'il a effectués au titre de la prévoyance individuelle liée était par conséquent prescrite. Au demeurant, le recourant ne pouvait se prévaloir de la déclaration de renonciation à l'exception de prescription signée par l'intimée le 22 mai 2007, celle-ci ayant expressément réservé le cas où la prescription était déjà intervenue (voir également arrêt 5C.42/2005 du 21 avril 2005 consid. 2.2 et les références).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