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185</w:t>
      </w:r>
    </w:p>
    <w:p>
      <w:r>
        <w:t>Bundesgericht (BGE), 2008-12-18, DE</w:t>
      </w:r>
    </w:p>
    <w:p>
      <w:r>
        <w:rPr>
          <w:b/>
        </w:rPr>
        <w:t xml:space="preserve">Quelle: </w:t>
      </w:r>
      <w:r>
        <w:t>https://mcp.opencaselaw.ch/entscheid/bge_BGE_135_III_185</w:t>
      </w:r>
    </w:p>
    <w:p>
      <w:r>
        <w:t>FR: ATF 135 III 185</w:t>
      </w:r>
    </w:p>
    <w:p>
      <w:r>
        <w:t>IT: DTF 135 III 185</w:t>
      </w:r>
    </w:p>
    <w:p>
      <w:pPr>
        <w:pStyle w:val="Heading2"/>
      </w:pPr>
      <w:r>
        <w:t>Regeste</w:t>
      </w:r>
    </w:p>
    <w:p>
      <w:r>
        <w:t>Regeste a Art. 2 LugÜ; räumlich-persönlicher Anwendungsbereich. Die Anwendung von Art. 2 LugÜ setzt den Wohnsitz des Beklagten in einem Vertragsstaat sowie ein weiteres internationales Element voraus; dieses ist gegeben, wenn der Kläger Wohnsitz im Ausland hat, selbst wenn der Wohnsitzstaat nicht Lugano-Staat ist (E. 3.3).</w:t>
      </w:r>
    </w:p>
    <w:p>
      <w:r>
        <w:t>Regeste b Art. 1 Abs. 2 Ziff. 1 LugÜ; sachlicher Anwendungsbereich. Ansprüche eines Erben gegen Dritte fallen in den sachlichen Anwendungsbereich des LugÜ, wenn sich der geltend gemachte Anspruch bereits im Vermögen des Erblassers befand, mithin nur die Aktivlegitimation durch das Erbstatut bestimmt ist (E. 3.4).</w:t>
      </w:r>
    </w:p>
    <w:p>
      <w:r>
        <w:t>Regeste a Art. 2 CL; champ d'application territorial et personnel. L'application de l'art. 2 CL suppose le domicile du défendeur dans un Etat contractant, ainsi qu'un autre élément international; celui-ci est donné lorsque le demandeur a son domicile à l'étranger, même si l'Etat du domicile n'est pas partie à la Convention de Lugano (consid. 3.3).</w:t>
      </w:r>
    </w:p>
    <w:p>
      <w:r>
        <w:t>Regeste b Art. 1 al. 2 ch. 1 CL; champ d'application matériel. Les actions intentées par un héritier contre un tiers tombent dans le champ d'application matériel de la CL, lorsque le droit invoqué se trouvait déjà dans le patrimoine du de cujus et que, par conséquent, seule la légitimation active est définie selon le statut successoral (consid. 3.4).</w:t>
      </w:r>
    </w:p>
    <w:p>
      <w:r>
        <w:t>Regesto a Art. 2 CL; campo di applicazione territoriale e personale. L'applicazione dell'art. 2 CL presuppone il domicilio della parte convenuta in uno Stato contraente e un ulteriore elemento internazionale; questo è dato quando la parte attrice è domiciliata all'estero, anche se lo Stato in cui risiede non ha aderito alla Convenzione di Lugano (consid. 3.3).</w:t>
      </w:r>
    </w:p>
    <w:p>
      <w:r>
        <w:t>Regesto b Art. 1 cpv. 2 n. 1 CL; campo di applicazione materiale. Le pretese avanzate da un erede contro terzi rientrano nel campo di applicazione materiale della CL quando il diritto che viene fatto valere si trovava già nel patrimonio del de cuius e, di conseguenza, solo la legittimazione attiva viene determinata secondo lo statuto successorio (consid. 3.4).</w:t>
      </w:r>
    </w:p>
    <w:p>
      <w:pPr>
        <w:pStyle w:val="Heading2"/>
      </w:pPr>
      <w:r>
        <w:t>Erwägungen</w:t>
      </w:r>
    </w:p>
    <w:p>
      <w:r>
        <w:rPr>
          <w:b/>
        </w:rPr>
        <w:t>E. 3</w:t>
      </w:r>
    </w:p>
    <w:p>
      <w:r>
        <w:t>Dem Handelsgericht werfen die Beschwerdeführer sinngemäss vor, es habe Art. 86 IPRG nicht bzw. nicht richtig angewendet, indem es das Einsichtsbegehren nicht erbrechtlich, sondern vertragsrechtlich qualifiziert und sich zu Unrecht als örtlich zuständig erklärt habe.</w:t>
      </w:r>
    </w:p>
    <w:p>
      <w:r>
        <w:rPr>
          <w:b/>
        </w:rPr>
        <w:t>E. 3.1</w:t>
      </w:r>
    </w:p>
    <w:p>
      <w:r>
        <w:t>Hat eine Partei ihren Wohnsitz oder Sitz im Ausland, liegt nach bundesgerichtlicher Rechtsprechung immer ein internationales Verhältnis im Sinne von Art. 1 Abs. 1 IPRG vor ( BGE 134 III 475 E. 4 S. 477; BGE 131 III 76 E. 2.3 S. 79 f.). Dabei ist unerheblich, welche Partei ihren Sitz oder Wohnsitz im Ausland hat ( BGE 131 III 76 E. 2.3 S. 80). Da der Beschwerdegegner seinen Wohnsitz in Pakistan hat, findet das IPRG im vorliegenden Fall Anwendung, falls kein völkerrechtlicher Vertrag vorgeht ( Art. 1 Abs. 2 IPRG ). In Zivil- und Handelssachen ist auf die Frage der internationalen Zuständigkeit das Lugano-Übereinkommen (LugÜ) anwendbar, sofern der hier zur Diskussion stehende Sachverhalt in den räumlich-persönlichen und sachlichen Anwendungsbereich des Übereinkommens fällt. Welches der räumlich-persönliche Anwendungsbereich des LugÜ ist, ergibt sich nicht aus einer entsprechenden allgemeinen Norm dieses Abkommens, sondern ist anhand seiner einzelnen Zuständigkeitsbestimmungen zu prüfen (Urteil 5C.139/2002 vom 26. September 2002 E. 2.2; IVO SCHWANDER, Gerichtszuständigkeiten im Lugano-Übereinkommen, in: Das Lugano-Übereinkommen, 1990, S. 61/62). Vorliegend fällt die Zuständigkeit im Sitzstaat der Beklagten gemäss Art. 2 Abs. 1 LugÜ in Betracht. Dabei stellt sich die Frage, ob diese Norm auch dann zur Anwendung gelangt, wenn wie hier der Kläger (Beschwerdegegner) Wohnsitz in einem Staat hat, der nicht Lugano-Vertragsstaat ist. Mangels entsprechender Regelung ist durch Auslegung des Übereinkommens zu entscheiden, ob die Anwendung von Art. 2 Abs. 1 LugÜ einen Bezug zu mehreren Lugano-Staaten voraussetzt. BGE 135 III 185 S. 189</w:t>
      </w:r>
    </w:p>
    <w:p>
      <w:r>
        <w:rPr>
          <w:b/>
        </w:rPr>
        <w:t>E. 3.2</w:t>
      </w:r>
    </w:p>
    <w:p>
      <w:r>
        <w:t>Das Lugano-Übereinkommen schliesst sich als Parallelübereinkommen sehr eng an das von den Mitgliedern der Europäischen Union unterzeichnete Brüsseler Übereinkommen (Übereinkommen vom 27. September 1968 über die gerichtliche Zuständigkeit und die Vollstreckung gerichtlicher Entscheidungen in Zivil- und Handelssachen; EuGVÜ) sowie an die dieses Abkommen für die Vertragsstaaten der EU (mit Ausnahme von Dänemark) ersetzende Verordnung Nr. 44/2001 des Rates vom 22. Dezember 2000 an (EuGVO; in Kraft seit 1. März 2002). Damit besteht Bedarf nach einer harmonisierten Auslegung der aufeinander abgestimmten Normen. Folgerichtig verpflichtet Art. 1 des Protokolls Nr. 2 zum Lugano-Übereinkommen die Gerichte der Vertragsstaaten, bei der Anwendung und Auslegung der Staatsvertragsbestimmungen den Grundsätzen gebührend Rechnung zu tragen, die in massgebenden Entscheidungen von Gerichten der anderen Vertragsstaaten entwickelt worden sind. Dies gilt in besonderem Masse auch für die Rechtsprechung des EuGH ( BGE 134 III 218 E. 3.3 S. 221 f.; BGE 131 III 398 E. 4 S. 399, BGE 131 III 227 E. 3.1 S. 230). Dabei ist gleichermassen unerheblich, ob die europäische Rechtsprechung vor oder nach dem Inkrafttreten des Lugano-Übereinkommens, zum EuGVÜ oder zu den mit dem Lugano-Übereinkommen inhaltlich übereinstimmenden Normen der EuGVO ergangen ist ( BGE 131 III 227 E. 3.1 S. 230; im Ergebnis schon BGE 129 III 626 E. 5.2.1 S. 632 f.). Eine Differenzierung verbietet sich schon deshalb, weil sonst das mit dem Lugano-Übereinkommen angestrebte Ziel, die Schweiz in einen europäischen Raum vereinheitlichter Gerichtszuständigkeiten in Zivil- und Handelssachen einzubinden, untergraben würde. Der Rechtsprechung des EuGH ist daher bei der Auslegung des Lugano-Übereinkommens grundsätzlich zu folgen. Eine abweichende Auslegung bleibt nur dann vorbehalten, wenn die europäische Rechtsprechung eindeutig an den Zielen der Europäischen Union orientiert ist, welche die Schweiz nicht mitträgt ( BGE 131 III 227 E. 3.1 S. 230).</w:t>
      </w:r>
    </w:p>
    <w:p>
      <w:r>
        <w:rPr>
          <w:b/>
        </w:rPr>
        <w:t>E. 3.3</w:t>
      </w:r>
    </w:p>
    <w:p>
      <w:r>
        <w:t>Nach der Rechtsprechung des EuGH setzt die Anwendung des dem Art. 2 LugÜ entsprechenden Art. 2 EuGVÜ lediglich den Wohnsitz des Beklagten in einem Vertragsstaat sowie ein weiteres internationales Element wie z.B. den Wohnsitz des Klägers im Ausland voraus (Urteil vom 1. März 2005 C-281/02 Owusu , Slg. 2005 I-1383 Randnrn. 24 ff.; vgl. dazu PAUL VLAS, in: Brussels I Regulation, München 2007, N. 6-7 zu Art. 2 EuGVO; BURKHARD BGE 135 III 185 S. 190 HESS, The Brussels I Regulation 44/2001, München 2008, Rz. 48; PETER GOTTWALD, in: Münchener Kommentar zur Zivilprozessordnung, Bd. III, 3. Aufl., München 2008, N. 26 zu Art. 2 EuGVO). Im Lichte dieser Rechtsprechung ist Art. 2 LugÜ auf den vorliegenden Sachverhalt anwendbar, denn die Beklagte hat ihren Sitz in der Schweiz, und aus dem klägerischen Wohnsitz in Pakistan ergibt sich ein Auslandbezug. Eine solche Konstellation wird vom räumlich-persönlichen Anwendungsbereich des harmonisiert ausgelegten Art. 2 LugÜ erfasst (so im Ergebnis auch schon das vor dem Owusu -Entscheid ergangene Urteil 4C.98/2003 vom 15. Juni 2004 E. 2.1, wenn auch im Zusammenhang mit Art. 5 Ziff. 3 LugÜ ; anders demgegenüber in einem obiter dictum noch BGE 124 III 176 E. 4 S. 180). Diese Auslegung wird auch in der neueren Schweizer Lehre vertreten (GERHARD WALTER, Internationales Zivilprozessrecht der Schweiz, 4. Aufl. 2007, S. 182 f.; FELIX DASSER, Kommentar zum Lugano-Übereinkommen [LugÜ], 2008, N. 12 zu Art. 1 LugÜ ; PAUL VOLKEN, in: Zürcher Kommentar zum IPRG, 2. Aufl. 2004, N. 17 vor Art. 2 IPRG ; SCHNYDER/GROLIMUND, in: Basler Kommentar zum Internationalen Privatrecht, 2. Aufl. 2007, N. 40 zu Art. 1 IPRG ).</w:t>
      </w:r>
    </w:p>
    <w:p>
      <w:r>
        <w:rPr>
          <w:b/>
        </w:rPr>
        <w:t>E. 3.4</w:t>
      </w:r>
    </w:p>
    <w:p>
      <w:r>
        <w:t>Das Einsichtsbegehren stützt sich auf ein Rechtsverhältnis zwischen Privaten und ist daher als Zivil- oder Handelssache im Sinne von Art. 1 Abs. 1 LugÜ zu qualifizieren. Es wird vom sachlichen Anwendungsbereich des Lugano-Übereinkommens erfasst, sofern es nicht in einen nach Art. 1 Abs. 2 LugÜ ausgeschlossenen Sachbereich fällt.</w:t>
      </w:r>
    </w:p>
    <w:p>
      <w:r>
        <w:rPr>
          <w:b/>
        </w:rPr>
        <w:t>E. 3.4.1</w:t>
      </w:r>
    </w:p>
    <w:p>
      <w:r>
        <w:t>Nach Art. 1 Abs. 2 Ziff. 1 LugÜ ist das Übereinkommen auf das Gebiet des "Erbrechts einschliesslich des Testamentsrechts" nicht anzuwenden. Die Auslegung dieser Norm hat nach den allgemeinen Grundsätzen des Staatsvertragsrechts vertragsautonom zu erfolgen ( BGE 124 III 382 E. 6d S. 395; WALTER, a.a.O., S. 167; DASSER, a.a.O., N. 50 zu Art. 1 LugÜ ; grundlegend in Bezug auf die Auslegung der EuGVÜ das Urteil des EuGH vom 14. Oktober 1976 C 29-76 LTU Lufttransportunternehmen GmbH &amp; Co. KG , Slg. 1976 S. 1541 Randnr. 3; PIPPA ROGERSON, in: Brussels I Regulation, München 2007, N. 8 ff. zu Art. 1 EuGVO; PETER SCHLOSSER, EU-Zivilprozessrecht, 2. Aufl., München 2003, N. 13 zu Art. 1 EuGVO). Aus diesem Grund ist die von den Beschwerdeführern vorgetragene Auslegung des Begriffs der "erbrechtlichen Streitigkeit" im BGE 135 III 185 S. 191 Sinne des Art. 86 IPRG unbeachtlich, namentlich auch die dazu ergangene, von den Beschwerdeführern mehrfach angerufene bundesgerichtliche Rechtsprechung. In "das Gebiet des Erbrechts einschliesslich des Testamentsrechts" i.S. des Art. 1 Abs. 2 Ziff. 1 LugÜ fallen alle Ansprüche des Erben "auf und an den Nachlass" (so bezüglich des EuGVÜ PETER SCHLOSSER, Bericht zu dem Übereinkommen über die gerichtliche Zuständigkeit und die Vollstreckung gerichtlicher Entscheidungen in Zivil- und Handelssachen, unterzeichnet in Brüssel am 27. September 1968, ABl. 1979 C 59 S. 71 Rz. 52). Ob ein Auskunftsrecht eines Erben gegenüber einem Dritten als ein solcher Anspruch zu qualifizieren ist, hat das Bundesgericht noch nie entschieden. Ebenso wenig gibt es einschlägige europäische Rechtsprechung zu den Parallelnormen des EuGVÜ bzw. der EuGVO. Demgegenüber wird in der Doktrin zur EuGVO vertreten, dass die Verordnung in vermögensrechtliche Streitigkeiten des Erben mit Dritten immerhin dann eingreift, wenn sie ihren Grund nicht im Erbrecht haben und die Erbberechtigung nur als Vorfrage auftreten kann. So findet die EuGVO auf die Klage aus einem vom Erblasser geschlossenen Schuldvertrag Anwendung, auch wenn die Klage erst nach dem Erbfall erhoben wird (JAN KROPHOLLER, Europäisches Zivilprozessrecht, 8. Aufl. 2005, N. 28 zu Art. 1 EuGVO). Das Auftreten erbrechtlicher Vorfragen hindert die Anwendung der Verordnung nicht (SCHLOSSER, a.a.O., N. 18 zu Art. 1 EuGVO).</w:t>
      </w:r>
    </w:p>
    <w:p>
      <w:r>
        <w:rPr>
          <w:b/>
        </w:rPr>
        <w:t>E. 3.4.2</w:t>
      </w:r>
    </w:p>
    <w:p>
      <w:r>
        <w:t>Ansprüche gegen Dritte, in die ein Erbe causa mortis nachfolgt, fallen folglich dann in den sachlichen Anwendungsbereich des Lugano-Übereinkommens, wenn sich der geltend gemachte Anspruch bereits im Vermögen des Erblassers befand, mithin nur die Aktivlegitimation des Erben auf einem erbrechtlichen Titel beruht. In solchen Fällen ist der Bestand und Inhalt des geltend gemachten Anspruchs nicht nach dem Erbstatut, sondern nach einem anderen vermögensrechtlichen Statut zu beurteilen und nur die Aktivlegitimation durch das Erbrecht im Sinne einer Vorfrage bestimmt. Macht ein angeblicher Erbe einen wie auch immer gearteten Anspruch gegen die Bank geltend, mit welcher der Erblasser in einer Kontobeziehung stand, ist nach dem auf die Bankkundenbeziehung anwendbaren Vertragsstatut zu prüfen, ob ein solcher Anspruch besteht. Ist er begründet, befand er sich bereits im Vermögen des Erblassers und beruht nur die Aktivlegitimation des BGE 135 III 185 S. 192 Erben auf einem erbrechtlichen Titel. Ein derart geltend gemachter Anspruch fällt damit nicht unter die ausgeschlossenen Materien gemäss Art. 1 Abs. 2 Ziff. 1 LugÜ . Freilich kann zugleich ein erbrechtlicher Anspruch gegenüber der Bank bestehen, für den das Lugano-Übereinkommen keine Zuständigkeit vorsieht (bezüglich sich direkt aus dem Erbstatut ergebender Ansprüche vgl. das Urteil des Bundesgerichts 5C.235/2004 vom 24. März 2005 E. 2.2). Das ändert aber nichts daran, dass jedenfalls der sich aus dem Vertragsstatut ergebende Anspruch nicht zu den ausgeschlossenen Materien des Lugano-Übereinkommens gehört. Insofern fällt das Einsichtsbegehren, das der Beschwerdegegner nach den Feststellungen des Handelsgerichts auf eine vorbestehende Bankkundenbeziehung des Erblassers mit der Beklagten stützt, in dem Umfang nicht unter die ausgeschlossenen Materien, als dessen Bestand und Inhalt vertragsrechtlich begründet ist.</w:t>
      </w:r>
    </w:p>
    <w:p>
      <w:r>
        <w:rPr>
          <w:b/>
        </w:rPr>
        <w:t>E. 3.5</w:t>
      </w:r>
    </w:p>
    <w:p>
      <w:r>
        <w:t>Das Handelsgericht des Kantons Zürich hat sich in Anwendung von Art. 2 Abs. 1 LugÜ i.V.m. Art. 112 Abs. 1 IPRG zu Recht für international und örtlich zuständig erklärt. Es wird die Begründetheit des Einsichtsbegehrens hauptfrageweise gestützt auf ein Vertragsstatut und vorfrageweise gestützt auf ein Erbstatut zu beurteilen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