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158</w:t>
      </w:r>
    </w:p>
    <w:p>
      <w:r>
        <w:t>Bundesgericht (BGE), 2008-11-14, DE</w:t>
      </w:r>
    </w:p>
    <w:p>
      <w:r>
        <w:rPr>
          <w:b/>
        </w:rPr>
        <w:t xml:space="preserve">Quelle: </w:t>
      </w:r>
      <w:r>
        <w:t>https://mcp.opencaselaw.ch/entscheid/bge_BGE_135_III_158</w:t>
      </w:r>
    </w:p>
    <w:p>
      <w:r>
        <w:t>FR: ATF 135 III 158</w:t>
      </w:r>
    </w:p>
    <w:p>
      <w:r>
        <w:t>IT: DTF 135 III 158</w:t>
      </w:r>
    </w:p>
    <w:p>
      <w:pPr>
        <w:pStyle w:val="Heading2"/>
      </w:pPr>
      <w:r>
        <w:t>Regeste</w:t>
      </w:r>
    </w:p>
    <w:p>
      <w:r>
        <w:t>Regeste Art.125 ZGB; nachehelicher Unterhalt; angemessene Altersvorsorge. Begriff und Bemessung der Altersvorsorge als Teil des gebührenden Unterhalts (E. 4).</w:t>
      </w:r>
    </w:p>
    <w:p>
      <w:r>
        <w:t>Regeste Art. 125 CC; entretien après le divorce; prévoyance vieillesse appropriée. Notion et calcul de la prévoyance vieillesse en tant que part de l'entretien convenable (consid. 4).</w:t>
      </w:r>
    </w:p>
    <w:p>
      <w:r>
        <w:t>Regesto Art. 125 CC; mantenimento dopo il divorzio; adeguata previdenza per la vecchiaia. Nozione e calcolo della previdenza per la vecchiaia quale parte del debito mantenimento (consid. 4).</w:t>
      </w:r>
    </w:p>
    <w:p>
      <w:pPr>
        <w:pStyle w:val="Heading2"/>
      </w:pPr>
      <w:r>
        <w:t>Erwägungen</w:t>
      </w:r>
    </w:p>
    <w:p>
      <w:r>
        <w:rPr>
          <w:b/>
        </w:rPr>
        <w:t>E. 4</w:t>
      </w:r>
    </w:p>
    <w:p>
      <w:r>
        <w:t>Der gebührende Unterhalt im Sinne von Art. 125 Abs. 1 ZGB schliesst eine angemessene Altersvorsorge ein. Zweiter Hauptstreitpunkt ist die Bemessung des sog. Vorsorgeunterhalts. BGE 135 III 158 S. 159</w:t>
      </w:r>
    </w:p>
    <w:p>
      <w:r>
        <w:rPr>
          <w:b/>
        </w:rPr>
        <w:t>E. 4.1</w:t>
      </w:r>
    </w:p>
    <w:p>
      <w:r>
        <w:t>Unter Herrschaft des Scheidungsrechts von 1907/12 hat das Bundesgericht berücksichtigt, dass in den Fällen, in denen keine lebenslänglichen nachehelichen Unterhaltsbeiträge in Frage kommen, der Aufbau einer angemessenen Alters-, Hinterlassenen- und Invalidenvorsorge ebenfalls zum Unterhaltsanspruch gehört (vgl. Botschaft, BBl 1996 I 1, 114 Ziff. 233.52 bei/in Anm. 352, mit Hinweisen). Nach geltendem Recht wird durch die Teilung der Austrittsleistungen der beruflichen Vorsorge und mit dem Splitting und den Betreuungsgutschriften im Rahmen der AHV die Altersvorsorge für die Zeit bis zur Scheidung geregelt. Bezüglich der Vergangenheit sollte - hier nicht zutreffende Sonderfälle vorbehalten (vgl. BGE 129 III 257 E. 3 S. 260 ff.) - keine Lücke in der Altersvorsorge mehr bestehen. Der sog. Vorsorgeunterhalt im Sinne von Art. 125 Abs. 1 ZGB betrifft den Ausgleich allfälliger künftiger nachehelicher Einbussen, wenn ein Ehegatte wegen Kinderbetreuungspflichten in den Jahren nach der Scheidung keiner oder - wie hier vorübergehend - nur einer beschränkten Erwerbstätigkeit wird nachgehen und deshalb auch nicht die vollen Beiträge in die eigene Altersvorsorge wird einbezahlen können (vgl. BGE 129 III 7 E. 3.1.2 S. 9; Urteile 5C.48/2001 vom 28. August 2001 E. 4b und 5C.308/2005 vom 12. April 2006 E. 3.2, in: FamPra.ch 2002 S. 148 und 2006 S. 725).</w:t>
      </w:r>
    </w:p>
    <w:p>
      <w:r>
        <w:rPr>
          <w:b/>
        </w:rPr>
        <w:t>E. 4.2</w:t>
      </w:r>
    </w:p>
    <w:p>
      <w:r>
        <w:t>Die Rechtsprechung hat sich bisher zu keiner konkreten Berechnungsmethode äussern müssen und jeweilen auf Antrag des unterhaltspflichtigen Ehegatten lediglich geprüft, ob der Einbezug eines regelmässig eher bescheidenen Betrags in den Bedarf des nicht oder nur teilweise erwerbstätigen unterhaltsberechtigten Ehegatten zu beanstanden sei. Nach einer ersten Berechnungsart ist der Lebensunterhalt als Einkommensersatz zu betrachten und in ein fiktives Bruttoeinkommen umzurechnen. Darauf sind die Arbeitgeber- und Arbeitnehmerbeiträge zu berechnen, die zusammen, erweitert um eine allfällige Steuerbelastung, den Vorsorgeunterhalt ergeben. Statt des Lebensunterhalts verwendet eine andere Methode als Berechnungsgrundlage das hypothetische Bruttoerwerbseinkommen, das der unterhaltsberechtigte Ehegatte nach der Scheidung erzielen könnte, wenn die ehebedingten Nachteile nie bestanden hätten und nach der Scheidung nicht weiter bestehen würden. Im Sinne einer dritten Lösung wird vorgeschlagen, minimale AHV-Beiträge in den Bedarf bei einer erwerbslosen berechtigten Partei einzubeziehen und nach Ermessen geschätzte Beiträge an die berufliche BGE 135 III 158 S. 160 Vorsorge einzurechnen (vgl. die Zusammenfassung bei GLOOR/SPYCHER, in: Basler Kommentar, Zivilgesetzbuch, Bd. I, 3. Aufl. 2006, N. 4 Abs. 2 zu Art. 125 ZGB , mit Hinweis vorab auf SCHWENZER, in: Scheidung, FamKomm, 2005, N. 9 zu Art. 125 ZGB , und FREIVOGEL, in: Scheidung, FamKomm, 2005, Anhang Unterhaltsberechnungen, N. 23 ff. und 27a ff.; HAUSHEER, Die privatrechtliche Rechtsprechung des Bundesgerichts im Jahre 2007, Familienrecht, ZBJV 144/2008 S. 553 ff., 578 ff.).</w:t>
      </w:r>
    </w:p>
    <w:p>
      <w:r>
        <w:rPr>
          <w:b/>
        </w:rPr>
        <w:t>E. 4.3</w:t>
      </w:r>
    </w:p>
    <w:p>
      <w:r>
        <w:t>Ausgangspunkt des nachehelichen Unterhalts ist der Schaden, der dadurch entsteht, dass die Versorgung der Ehegatten und der Kinder nicht mehr durch das einträchtige Zusammenwirken von Mann und Frau im gemeinsamen Haushalt gesichert ist ( BGE 115 II 6 E. 3 S. 8/9). Daran hat die ZGB-Revision von 1998/2000 nichts Grundsätzliches geändert (vgl. Botschaft, a.a.O., S. 112 f.). Der gebührende Unterhalt knüpft an die Lebensverhältnisse der Parteien an, und zwar bei sog. lebensprägenden Ehen an den in der Ehe zuletzt gemeinsam gelebten Standard (zuzüglich scheidungsbedingter Mehrkosten), auf dessen Fortführung bei genügenden Mitteln beide Teile Anspruch haben, der aber gleichzeitig auch die Obergrenze des gebührenden Unterhalts bildet ( BGE 134 III 145 E. 4 S. 146), bei anderen Ehen (z.B. sog. Kurzehen) hingegen an die vorehelichen wirtschaftlichen Verhältnisse (Urteil 5C.169/2006 vom 13. September 2006 E. 2.4, in: FamPra.ch 2007 S. 147). Unter diesem Blickwinkel erscheint es als folgerichtig, der Bemessung der Altersvorsorge die für die Ehegatten massgebende Lebenshaltung zugrunde zu legen. Gegen ein Abstellen auf ein hypothetisches Bruttoerwerbseinkommen spricht denn auch, dass die Obergrenze des nachehelichen Unterhalts nicht oder zu wenig beachtet wird, zumal je nach der Höhe des angenommenen Bruttoerwerbseinkommens auf Kosten des unterhaltspflichtigen Ehegatten eine Altersvorsorge geäufnet wird, die höher sein kann, als sie bei weiterbestehender Ehe im Alter wäre. Es kommt hinzu, dass nach dieser Methode wirtschaftliche Nachteile ausgeglichen werden sollen (vgl. FREIVOGEL, a.a.O., N. 27a a.E.), die die Rechtsprechung nicht als ehebedingt anerkennt (z.B. den Verzicht auf eine eigene berufliche Laufbahn: Urteil 5C.235/2001 vom 25. November 2002 E. 3.1.2, in: FamPra.ch 2003 S. 391 f.; vgl. auch HAUSHEER/SPYCHER, Unterhalt nach neuem Scheidungsrecht, 2001, N. 05.02-05.04 S. 24 f.).</w:t>
      </w:r>
    </w:p>
    <w:p>
      <w:r>
        <w:rPr>
          <w:b/>
        </w:rPr>
        <w:t>E. 4.4</w:t>
      </w:r>
    </w:p>
    <w:p>
      <w:r>
        <w:t>Im Vordergrund steht daher, die Altersvorsorge auf Grund der für die Ehegatten massgebenden Lebenshaltung zu bemessen, d.h. BGE 135 III 158 S. 161 die Lebenshaltung, auf deren Fortführung der unterhaltsberechtigte Ehegatte grundsätzlich Anspruch hat, in ein fiktives Bruttoeinkommen umzurechnen und darauf die Arbeitgeber- und Arbeitnehmerbeiträge zu berechnen, die zusammen, erweitert um eine allfällige Steuerbelastung, den Vorsorgeunterhalt ergeben. Die Berechnungsart gestattet es, die angemessene Altersvorsorge entweder direkt zu bestimmen oder die dafür erforderlichen und bloss geschätzten Beträge auf ihre Angemessenheit hin zu überprüfen. Für ihre Anwendung ist das konkrete Vorsorgeverhältnis massgebend und zu berücksichtigen. Anders als bei der Teilung der in der Vergangenheit während der Ehe erworbenen beruflichen Vorsorge ( Art. 122 ZGB ) geht es bei der unterhaltsrechtlichen Altersvorsorge nicht um eine rein rechnerische Aufgabe, sondern um die Beurteilung der künftigen, allenfalls nur beschränkt vorhersehbaren Entwicklung der Lebensverhältnisse. Vereinfachungen sind notwendig und zulässig. Es bleibt eine Ermessensfrage, die das Sachgericht unter Berücksichtigung sämtlicher Umstände des konkreten Einzelfalls nach Recht und Billigkeit zu beantworten hat.</w:t>
      </w:r>
    </w:p>
    <w:p>
      <w:r>
        <w:rPr>
          <w:b/>
        </w:rPr>
        <w:t>E. 4.5</w:t>
      </w:r>
    </w:p>
    <w:p>
      <w:r>
        <w:t>Das Obergericht ist nicht vom Standard ausgegangen, den die Ehegatten in ihrer lebensprägenden Ehe zuletzt gemeinsam gelebt haben (zuzüglich scheidungsbedingter Mehrkosten). Es hat die Altersvorsorge auf der Grundlage eines Erwerbseinkommens von Fr. 8'500.- berechnet statt auf der Grundlage der massgeblichen Lebenshaltung zwischen Fr. 3'740.- und Fr. 4'460.- monatlich. Dass allein der betragsmässige Unterschied in der Berechnungsgrundlage zu einer offensichtlich unbilligen Festlegung des Vorsorgeunterhalts und damit des zuerkannten Unterhaltsbeitrags führt, bedarf keiner weiteren Ausführungen. Die Einwände des Beschwerdeführers sind in diesem Punkt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