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34</w:t>
      </w:r>
    </w:p>
    <w:p>
      <w:r>
        <w:t>Bundesgericht (BGE), 2007-01-01, IT</w:t>
      </w:r>
    </w:p>
    <w:p>
      <w:r>
        <w:rPr>
          <w:b/>
        </w:rPr>
        <w:t xml:space="preserve">Quelle: </w:t>
      </w:r>
      <w:r>
        <w:t>https://mcp.opencaselaw.ch/entscheid/bge_BGE_134_V_34</w:t>
      </w:r>
    </w:p>
    <w:p>
      <w:r>
        <w:t>FR: ATF 134 V 34</w:t>
      </w:r>
    </w:p>
    <w:p>
      <w:r>
        <w:t>IT: DTF 134 V 34</w:t>
      </w:r>
    </w:p>
    <w:p>
      <w:pPr>
        <w:pStyle w:val="Heading2"/>
      </w:pPr>
      <w:r>
        <w:t>Regeste</w:t>
      </w:r>
    </w:p>
    <w:p>
      <w:r>
        <w:t>Regeste Art. 2 Abs. 2 und Art. 6 Abs. 3 KVV; Ausnahme von der Versicherungspflicht. Die Wendung "entsprechender Versicherungsschutz" gemäss Art. 6 Abs. 3 KVV unterscheidet sich im Wesentlichen nicht erheblich vom entsprechenden Begriff in Art. 2 Abs. 2 KVV (E. 5.6). Auf den Beschwerdeführer als einen ehemaligen Beamten des Europarates im Ruhestand sind die Verordnungen (EWG) Nr. 1408/71 und Nr. 1612/ 68 nicht anwendbar (E. 8). Eine in anderen Kantonen geübte gesetzwidrige Praxis rechtfertigt keine Gleichbehandlung im Unrecht (E. 9).</w:t>
      </w:r>
    </w:p>
    <w:p>
      <w:r>
        <w:t>Regeste Art. 2 al. 2 et art. 6 al. 3 OAMal; exceptions à l'obligation de s'assurer. La notion de "couverture d'assurance analogue" au sens de l'art. 6 al. 3 OAMal ne diffère pas fondamentalement de celle utilisée à l'art. 2 al. 2 OAMal (consid. 5.6). Les règlements (CEE) n° 1408/71 et n° 1612/68 ne sont pas applicables à un ancien fonctionnaire du Conseil de l'Europe à la retraite (consid. 8). L'existence dans d'autres cantons d'une pratique contraire à la loi ne permet pas d'invoquer le principe de l'égalité de traitement dans l'illégalité (consid. 9).</w:t>
      </w:r>
    </w:p>
    <w:p>
      <w:r>
        <w:t>Regesto Art. 2 cpv. 2 e art. 6 cpv. 3 OAMal; esenzione dall'obbligo assicurativo. La nozione di "copertura assicurativa equivalente" ai sensi dell'art. 6 cpv. 3 OAMal non differisce in maniera sostanzialmente significativa da quella utilizzata dall'art. 2 cpv. 2 OAMal (consid. 5.6). Nei confronti del ricorrente, ex funzionario in pensione del Consiglio d'Europa, non trovano applicazione i regolamenti (CEE) n. 1408/71 e n. 1612/68 (consid. 8). L'esistenza di una prassi contraria alla legge in altri Cantoni non giustifica una parità di trattamento nell'illegalità (consid. 9).</w:t>
      </w:r>
    </w:p>
    <w:p>
      <w:pPr>
        <w:pStyle w:val="Heading2"/>
      </w:pPr>
      <w:r>
        <w:t>Erwägungen</w:t>
      </w:r>
    </w:p>
    <w:p>
      <w:r>
        <w:rPr>
          <w:b/>
        </w:rPr>
        <w:t>E. 6</w:t>
      </w:r>
    </w:p>
    <w:p>
      <w:r>
        <w:t>In via subordinata, il ricorrente chiede l'esenzione dall'obbligo assicurativo in virtù dell' art. 2 cpv. 2 OAMal . Sennonché, già solo BGE 134 V 34 S. 41 per le considerazioni espresse a proposito dell' art. 6 cpv. 3 OAMal in punto alla mancata equivalenza delle coperture assicurative, la censura si dimostra infondata. In via abbondanziale si osserva comunque che anche l'adempimento delle altre condizioni (cumulative) dell' art. 2 cpv. 2 OAMal suscita serie perplessità. Appare in particolare dubbio che i coniugi S. possano realmente essere ritenuti obbligatoriamente assicurati contro le malattie in virtù del diritto estero, rispettivamente del diritto di uno Stato con il quale non sussiste alcuna normativa concernente la delimitazione dell'obbligo di assicurazione (sulla conformità a legge, Costituzione e diritto internazionale di questo disposto, anche nella sua più recente versione, cfr. DTF 132 V 310 consid. 8.5.1 segg. pag. 314 segg.). La copertura garantita al ricorrente in qualità di funzionario in pensione del Consiglio d'Europa, e di riflesso anche a sua moglie, appare infatti a tutti gli effetti - come ben evidenziato dall'UAM in sede giudiziaria cantonale - complementare a quella obbligatoria di un eventuale Stato terzo. Così dallo statuto del personale del Consiglio d'Europa (annexe XII: règlement sur le régime de couverture médicale et sociale, consultabile al sito https://wcd.coe.int/) emerge ad esempio che gli agenti sono tenuti ad informare l'Organizzazione dell'esistenza di ogni altro regime obbligatorio che apre il diritto all'assunzione delle loro spese sanitarie (art. 9 cpv. 4). Similmente, l'art. 9 cpv. 5 dell'allegato XII dispone che se i beneficiari delle prestazioni previste dall'allegato soggiacciono a titolo personale a un altro o a diversi regimi di protezione sociale a carattere obbligatorio , le prestazioni dovute in virtù di questi regimi devono obbligatoriamente essere ottenute prima di ogni eventuale domanda di assunzione a carico del regime di copertura sanitaria e sociale dell'Organizzazione e vengono comunque dedotte dalle prestazioni previste da quest'ultimo regime. Ma vi è di più. Il carattere obbligatorio del regime sanitario e sociale del Consiglio d'Europa sembra messo in dubbio anche dall'art. 16 (curiosamente non prodotto con il ricorso cantonale, diversamente da quanto fatto per altre disposizioni) dell'allegato, in virtù del quale i beneficiari di una pensione d'anzianità prevista dal regime pensionistico dell'Organizzazione - come si avvera in concreto - sono affiliati al regime di copertura sanitaria e sociale dell'Organizzazione su loro richiesta (per altri casi in cui questa Corte ha negato o quantomeno messo in dubbio la natura obbligatoria della copertura assicurativa estera cfr. RAMI 1999 n. KV 81 pag. 337, K 33/99, nonché la sentenza citata K 167/00 del 4 ottobre 2001, consid. 3c). BGE 134 V 34 S. 42</w:t>
      </w:r>
    </w:p>
    <w:p>
      <w:r>
        <w:rPr>
          <w:b/>
        </w:rPr>
        <w:t>E. 7</w:t>
      </w:r>
    </w:p>
    <w:p>
      <w:r>
        <w:t>In via ancor più subordinata, l'insorgente fa valere che alla fattispecie dovrebbe in ogni caso tornare applicabile il nuovo art. 2 cpv. 8 OAMal , giusta il quale, a domanda, sono esentate dall'obbligo di 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Orbene, per le considerazioni esposte in precedenza ai consid. 5 e 6, alle quali si rinvia, anche questa censura si rivela infondata. Se la copertura assicurativa (complementare) della V. è stata ritenuta non equivalente a quella della LAMal, è escluso che l'assoggettamento all'assicurazione obbligatoria delle cure medico-sanitarie in Svizzera comporti un netto peggioramento della protezione assicurativa o della copertura dei costi. Per il resto si osserva che la Corte cantonale, sulla base degli atti di causa e in particolare delle disposizioni contrattuali fondate sul regolamento dell'Organizzazione (v. ad esempio il già citato art. 9 cpv. 5 dell'allegato XII), ha accertato, in maniera sostenibile, che i coniugi S. potrebbero mantenere le coperture assicurative estere non assicurabili in Svizzera e, nel contempo, assicurarsi nel nostro Paese. Il che osterebbe ugualmente all'invocazione dell' art. 2 cpv. 8 OAMal da parte del ricorrente (sulle possibilità per un assicurato anziano di ottenere, se del caso - a fronte delle difficoltà di concludere un'assicurazione complementare in Svizzera -, la sospensione del contratto assicurativo estero oppure la sua trasformazione [temporanea] in un'assicurazione complementare all'assicurazione obbligatoria malattia svizzera cfr. inoltre RAMI 2000 n. KV 102 pag. 16, consid. 4d, K 141/97).</w:t>
      </w:r>
    </w:p>
    <w:p>
      <w:r>
        <w:rPr>
          <w:b/>
        </w:rPr>
        <w:t>E. 8</w:t>
      </w:r>
    </w:p>
    <w:p>
      <w:r>
        <w:t>Vanamente l'insorgente si appella quindi ai principi e ai diritti istituiti dall'Accordo del 21 giugno 1999 tra la Confederazione Svizzera, da una parte, e la Comunità europea ed i suoi Stati membri, dall'altra, sulla libera circolazione delle persone (ALC), in vigore dal 1° giugno 2002, e in particolare dal suo allegato II, per giustificare la sua richiesta di esenzione. Inconferente risulta in particolare il richiamo al nuovo art. 2 cpv. 1 lett. c OAMal, che dispone non essere soggette all'obbligo d'assicurazione le persone che, in virtù dell'ALC e del relativo allegato II, dell'Accordo AELS e del relativo allegato K e dell'appendice 2 dell'allegato K o di una convenzione BGE 134 V 34 S. 43 di sicurezza sociale, sottostanno alla normativa di un altro Stato a causa della loro attività lucrativa in tale Stato. A prescindere dal fatto che il ricorrente non esercita più un'attività lucrativa a Strasburgo, va notato - come accertato in maniera vincolante e incontestata dai primi giudici - che egli nemmeno percepisce la sua pensione dallo Stato francese, bensì direttamente da un'organizzazione internazionale quale il Consiglio d'Europa, a cui l'ALC non si applica non trattandosi di uno Stato membro dell'Unione europea. Per il resto, dagli atti non risulta neppure che l'insorgente percepisca una rendita supplementare dalla Svizzera oppure nel quadro di un sistema legale di assicurazioni sociali di uno Stato dell'Unione europea (o dell'Associazione europea di libero scambio). Di conseguenza, neppure le disposizioni del regolamento (CEE) n. 1408/71 del Consiglio del 14 giugno 1971 relativo all'applicazione dei regimi di sicurezza sociale ai lavoratori subordinati, ai lavoratori autonomi e ai loro familiari che si spostano all'interno della Comunità (RS 0.831.109.268.1) - cui rinvia l' art. 1 cpv. 1 allegato II ALC -, sono applicabili in concreto. Analogamente a quanto la Corte di giustizia delle Comunità europee (CGCE) ha già avuto modo di osservare a proposito di dipendenti delle Comunità europee, il ricorrente non può infatti essere considerato lavoratore ai sensi del regolamento n. 1408/71 in quanto non è stato assoggettato a una normativa previdenziale nazionale come richiesto dall' art. 2 n. 1 del regolamento n. 1408/71 (cfr. per analogia la sentenza della CGCE del 3 ottobre 2000, Ferlini , C-411/98, Racc. 2000, pag. I-8081, n. 41; cfr. pure FRANCIS KESSLER/JEAN-PHILIPPE LHERNOULD, Code annoté européen de la protection sociale, 3 a ed., Parigi 2005, pag. 77; per una panoramica dei principi validi in materia in caso di applicabilità del regolamento n. 1408/71 cfr. comunque le sentenze della CGCE del 21 febbraio 1991, Noij , C-140/88, Racc. 1991, pag. I-387, n. 14 e 15, e del 18 luglio 2006, Nikula , C-50/05, Racc. 2006, pag. I-7029, n. 20 segg.). Applicabilità che per il resto deve essere negata anche al regolamento (CEE) n. 1612/68 del Consiglio del 15 ottobre 1968 relativo alla libera circolazione dei lavoratori all'interno della Comunità, detto regolamento non applicandosi in linea di principio ad una persona che abbia trasferito la residenza dallo Stato membro in cui ha cessato di esercitare un'attività lavorativa in un altro Stato membro in cui - come si avvera in concreto - non eserciti (più) né ricerchi un'attività lavorativa (v. ad esempio la sentenza della CGCE del 10 maggio 2001, Rundgren , C-389/99, Racc. 2001, pag. I-3731, n. 35). BGE 134 V 34 S. 44</w:t>
      </w:r>
    </w:p>
    <w:p>
      <w:r>
        <w:rPr>
          <w:b/>
        </w:rPr>
        <w:t>E. 9</w:t>
      </w:r>
    </w:p>
    <w:p>
      <w:r>
        <w:t>Infine, il richiamo da parte del ricorrente a una differente prassi amministrativa nei Cantoni V. e L., dove l'esenzione dall'obbligo assicurativo sarebbe stata concessa a pensionati del Consiglio d'Europa domiciliati nei rispettivi Cantoni, deve ugualmente considerarsi privo di rilievo per gli esiti del presente giudizio.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in casu: l'UAM (del Cantone Ticino) -, dalla quale la stessa non intenda scostarsi. Irrilevante sarebbe per contro l'esistenza di una prassi contraria in altri Cantoni ( DTF 131 V 9 consid. 3.7 pag. 20; RAMI 2006 n. KV 367 pag. 206, consid. 11, pag. 225 con riferimenti, K 25/05). Ora, nel caso concreto, non risulta in alcun modo che l'UAM abbia in passato istituito una prassi contraria alla legge. Né tantomeno si può seriamente dedurre dalle sue prese di posizione l'intenzione di mantenere una simile prassi.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