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28</w:t>
      </w:r>
    </w:p>
    <w:p>
      <w:r>
        <w:t>Bundesgericht (BGE), 2007-11-06, DE</w:t>
      </w:r>
    </w:p>
    <w:p>
      <w:r>
        <w:rPr>
          <w:b/>
        </w:rPr>
        <w:t xml:space="preserve">Quelle: </w:t>
      </w:r>
      <w:r>
        <w:t>https://mcp.opencaselaw.ch/entscheid/bge_BGE_134_V_28</w:t>
      </w:r>
    </w:p>
    <w:p>
      <w:r>
        <w:t>FR: ATF 134 V 28</w:t>
      </w:r>
    </w:p>
    <w:p>
      <w:r>
        <w:t>IT: DTF 134 V 28</w:t>
      </w:r>
    </w:p>
    <w:p>
      <w:pPr>
        <w:pStyle w:val="Heading2"/>
      </w:pPr>
      <w:r>
        <w:t>Regeste</w:t>
      </w:r>
    </w:p>
    <w:p>
      <w:r>
        <w:t>Regeste Art. 2 Abs. 2 ZGB; Art. 2 Abs. 1, Art. 5 Abs. 1 lit. b FZG; Art. 18 lit. a, Art. 20a Abs. 1 lit. b, Art. 22 Abs. 1 BVG; Eintritt des Vorsorgefalles "Tod". Der Versicherungs- oder Vorsorgefall "Tod" tritt mit dem Tod des Versicherten ein (E. 3.2). Präzisierung der Rechtsprechung zum Eintritt des Vorsorgefalles "Invalidität" (E. 3.4). Kein offenbarer Rechtsmissbrauch, wenn sich der Versicherte selbstständig macht, um seinem Bruder die Austrittsleistung vererben zu können (E. 4).</w:t>
      </w:r>
    </w:p>
    <w:p>
      <w:r>
        <w:t>Regeste Art. 2 al. 2 CC; art. 2 al. 1, art. 5 al. 1 let. b LFLP; art. 18 let. a, art. 20a al. 1 let. b, art. 22 al. 1 LPP; réalisation du risque de prévoyance en cas de "mort". Le risque d'assurance ou de prévoyance en cas de "mort" survient au moment du décès de l'assuré (consid. 3.2). Précision de jurisprudence concernant la réalisation du risque de prévoyance en cas d'"invalidité" (consid. 3.4). Il n'y a pas d'abus de droit manifeste, lorsque l'assuré se fait indépendant afin de léguer la prestation de sortie à son frère (consid. 4).</w:t>
      </w:r>
    </w:p>
    <w:p>
      <w:r>
        <w:t>Regesto Art. 2 cpv. 2 CC; art. 2 cpv. 1, art. 5 cpv. 1 lett. b LFLP; art. 18 lett. a, art. 20a cpv. 1 lett. b, art. 22 cpv. 1 LPP; insorgenza del caso di previdenza "decesso". Il caso di previdenza o assicurato "decesso" interviene con la morte dell'assicurato (consid. 3.2). Precisazione della giurisprudenza relativa all'insorgenza dell'evento assicurato "invalidità" (consid. 3.4). Non si verifica nessun abuso manifesto di diritto se l'assicurato si fa indipendente per lasciare in eredità a suo fratello la prestazione di uscita (consid. 4).</w:t>
      </w:r>
    </w:p>
    <w:p>
      <w:pPr>
        <w:pStyle w:val="Heading2"/>
      </w:pPr>
      <w:r>
        <w:t>Erwägungen</w:t>
      </w:r>
    </w:p>
    <w:p>
      <w:r>
        <w:rPr>
          <w:b/>
        </w:rPr>
        <w:t>E. 2</w:t>
      </w:r>
    </w:p>
    <w:p>
      <w:r>
        <w:t>Strittig ist, ob der Beschwerdegegner als Rechtsnachfolger des Versicherten gegenüber der Pensionskasse Anspruch auf eine Austrittsleistung der obligatorischen beruflichen Vorsorge hat. Dies hängt entscheidend von der Frage ab, ob im Zeitpunkt, als der Versicherte die Vorsorgeeinrichtung verliess (14. Januar 2005), bereits ein Vorsorgefall (Alter, Tod, Invalidität) eingetreten war oder nicht (siehe Art. 2 Abs. 1 des Bundesgesetzes vom 17. Dezember 1993 über die Freizügigkeit in der beruflichen Alters-, Hinterlassenen- und Invalidenvorsorge [FZG; SR 831.42] ). Das kantonale Versicherungsgericht hat die zur Beurteilung dieser Streitfrage einschlägigen Rechtsgrundlagen zutreffend dargelegt. Darauf wird verwiesen.</w:t>
      </w:r>
    </w:p>
    <w:p>
      <w:r>
        <w:rPr>
          <w:b/>
        </w:rPr>
        <w:t>E. 3.1</w:t>
      </w:r>
    </w:p>
    <w:p>
      <w:r>
        <w:t>Das kantonale Gericht hat festgestellt, dass der Verstorbene seit 12. September 2004 im bisherigen Beruf erheblich, offensichtlich und dauerhaft arbeitsunfähig war. Ob dies auch für eine leidensangepasste Tätigkeit gelte, liess es offen, da der Vorsorgefall "Invalidität" erklärtermassen nicht eingetreten sei. Dies wird von der Beschwerdeführerin denn auch nicht bestritten. Sie beruft sich vielmehr auf den Vorsorgefall "Tod". Dieser sei bereits mit Beginn der relevanten Arbeitsunfähigkeit (12. September 2004) und damit vor dem Verlassen der Vorsorgeeinrichtung (14. Januar 2005) eingetreten, weshalb nach Art. 2 Abs. 2 FZG keine Austrittsleistung mehr erbracht werden dürfe. Es seien deshalb die gesetzlichen und reglementarischen Todesfallleistungen auszurichten. Mangels Personen, die Anspruch auf Hinterlassenenleistungen haben und begünstigter Personen nach Art. 20a Abs. 1 lit. a BVG , bedeute dies, dass gemäss Ziff. 14.5 lit. b des Pensionskassenreglementes der Mutter des Verstorbenen das durch eigene Beiträge finanzierte Altersguthaben auszurichten sei.</w:t>
      </w:r>
    </w:p>
    <w:p>
      <w:r>
        <w:rPr>
          <w:b/>
        </w:rPr>
        <w:t>E. 3.2</w:t>
      </w:r>
    </w:p>
    <w:p>
      <w:r>
        <w:t>Zur Frage, wann der Vorsorgefall "Tod" im Sinne von Art. 2 Abs. 2 FZG eingetreten ist, hat sich das Bundesgericht bisher nicht geäussert. Die Vorinstanz hat dazu erwogen, der Vorsorgefall "Tod" BGE 134 V 28 S. 31 trete mit dem Tod und nicht mit der allfällig zugrunde liegenden Arbeitsunfähigkeit ein. Eine dem Tod vorangegangene Arbeits- oder Erwerbsunfähigkeit bilde kein notwendiges Begriffselement des versicherten Risikos. Diese Auslegung deckt sich mit der in Lehre und Rechtsprechung verwendeten allgemeinen Definition des Versicherungsfalles: Unter einem solchen wird der Eintritt des versicherten Risikos in der gesetzlich normierten Weise verstanden (ULRICH MEYER, Allgemeine Einführung, in: Schweiz. Bundesverwaltungsrecht [SBVR], Soziale Sicherheit, 2. Aufl., Rz. 115 S. 73 mit Hinweis auf BGE 100 V 208 ). Der Anspruch auf Hinterlassenenleistungen nach BVG entsteht mit dem Tod des Versicherten, frühestens jedoch mit Beendigung der vollen Lohnfortzahlung ( Art. 22 Abs. 1 BVG ). Der hier in Frage stehende Versicherungs- oder Vorsorgefall tritt nach dem Gesagten also frühestens mit dem Tod des Versicherten ein.</w:t>
      </w:r>
    </w:p>
    <w:p>
      <w:r>
        <w:rPr>
          <w:b/>
        </w:rPr>
        <w:t>E. 3.3</w:t>
      </w:r>
    </w:p>
    <w:p>
      <w:r>
        <w:t>Nun ist, was bereits der historische Gesetzgeber erkannt hat, zu berücksichtigen, dass dem Tode vielfach eine kürzere oder längere Periode der Arbeitsunfähigkeit vorangehen kann, während welcher der Versicherte mitunter entlassen wird und dadurch den Versicherungsschutz verliert (Botschaft des Bundesrates zum Bundesgesetz über die berufliche Alters-, Hinterlassenen- und Invalidenvorsorge vom 19. Dezember 1975, BBl 1976 I 230). Die ursprüngliche - und bis heute unverändert gebliebene - Fassung des Art. 18 lit. a BVG sieht daher vor, dass der Verstorbene im Zeitpunkt des Todes oder bei Eintritt der Arbeitsunfähigkeit, deren Ursache zum Tode geführt hat, versichert gewesen sein muss (Versicherteneigenschaft; siehe dazu MEYER, a.a.O., Rz. 111, S. 72; HANS-ULRICH STAUFFER, Berufliche Vorsorge, Zürich/Basel/Genf 2005, S. 246 N. 657). Damit wird entgegen der Auffassung der Beschwerdeführerin nicht der Eintritt des Vorsorgefalles auf den Zeitpunkt des Eintritts der Arbeitsunfähigkeit vorverlegt, sondern vielmehr der Versicherungsschutz für den Fall geregelt, dass der Verstorbene im Zeitpunkt des Todes nicht mehr bei der Vorsorgeeinrichtung versichert ist. Der Anknüpfungspunkt bei der Versicherteneigenschaft im Zeitpunkt des Eintritts der Arbeitsunfähigkeit findet sich im Übrigen in analoger Weise auch in Art. 23 lit. a BVG , der den Anspruch auf Invalidenleistungen regelt (siehe dazu BGE 118 V 35 E. 2b/aa S. 39).</w:t>
      </w:r>
    </w:p>
    <w:p>
      <w:r>
        <w:rPr>
          <w:b/>
        </w:rPr>
        <w:t>E. 3.4.1</w:t>
      </w:r>
    </w:p>
    <w:p>
      <w:r>
        <w:t>In verschiedenen Urteilen des Eidg. Versicherungsgerichts (heute: Bundesgericht) wurde die in E. 3.3 dargestellte begriffliche Unterscheidung des Eintritts der Invalidität und der BGE 134 V 28 S. 32 Arbeitsunfähigkeit, deren Ursache zur Invalidität geführt hat, vermischt (letztmals Urteile B 116/04 vom 26. August 2005; B 9/05 vom 9. Juli 2005 und B 88/03 vom 28. Mai 2004), was dem BSV Anlass zur Bemerkung gibt, zum Eintritt des Vorsorgefalles "Invalidität" bestünden unterschiedliche Rechtsprechungen. Dem ist indessen bei genauer Betrachtung nicht so:</w:t>
      </w:r>
    </w:p>
    <w:p>
      <w:r>
        <w:rPr>
          <w:b/>
        </w:rPr>
        <w:t>E. 3.4.2</w:t>
      </w:r>
    </w:p>
    <w:p>
      <w:r>
        <w:t>In der in E. 3.3 genannten Botschaft wird auf S. 232 festgehalten: Damit der durch die zweite Säule bezweckte Schutz zum Tragen kommt, muss das Invaliditätsrisiko auch dann gedeckt sein, wenn es rechtlich gesehen erst nach einer langen Krankheit eintritt, während welcher der Ansprecher unter Umständen aus dem Arbeitsverhältnis ausgeschieden ist und daher nicht mehr dem Obligatorium unterstanden hat. In BGE 118 V 35 E. 2b/aa wird diese Passage der bundesrätlichen Botschaft wörtlich zitiert, womit klar feststeht, dass auch nach der Rechtsprechung des Eidg. Versicherungsgerichts der Vorsorgefall "Invalidität" nicht mit der ihr zugrunde liegenden Arbeitsunfähigkeit, sondern mit Beginn des Anspruchs auf eine Invalidenleistung (siehe Art. 26 Abs. 1 BVG ) eintritt. Damit deckt sich diese Rechtsprechung mit der im Zusammenhang mit der Teilung der Austrittsleistung im Scheidungsfall entwickelten: Danach ist der Vorsorgefall "Invalidität" eingetreten, wenn ein Ehegatte - weitergehende reglementarische Bestimmungen vorbehalten - mindestens zu 50 % dauernd erwerbsunfähig geworden ist oder während eines Jahres ohne wesentlichen Unterbruch mindestens zu 50 % arbeitsunfähig war und von der Einrichtung der beruflichen Vorsorge eine Invalidenrente bezieht oder in Form einer Kapitalabfindung bezogen hat. Für die Annahme eines Vorsorgefalles genügt somit blosse Teilinvalidität ( BGE 129 III 481 E. 3.2.2 S. 484).</w:t>
      </w:r>
    </w:p>
    <w:p>
      <w:r>
        <w:rPr>
          <w:b/>
        </w:rPr>
        <w:t>E. 3.5</w:t>
      </w:r>
    </w:p>
    <w:p>
      <w:r>
        <w:t>Aus dieser Klärung kann die Beschwerdeführerin indessen nichts zu ihren Gunsten ableiten. Das kantonale Gericht hat festgestellt, dass sich der Bruder des Beschwerdegegners das Leben genommen hat. Die Beschwerdeführerin geht in ihrer Sachverhaltsdarstellung - allerdings ohne nähere Begründung und ohne sich mit der Sachverhaltsfeststellung des kantonalen Gerichts auseinanderzusetzen - davon aus, das Krebsleiden habe zum Tode geführt. Dass das kantonale Gericht von einer offensichtlich unrichtigen Sachverhaltsfeststellung ausgegangen sein oder eine Rechtsverletzung im Sinne von Art. 95 begangen haben soll, wird nicht behauptet. Somit bleibt die Feststellung der Vorinstanz, der Versicherte sei BGE 134 V 28 S. 33 freiwillig aus dem Leben geschieden, für das Bundesgericht verbindlich. War damit weder das Krebsleiden, das zur Arbeitsunfähigkeit führte, Ursache des Todes, noch der Verstorbene im Zeitpunkt seines Todes bei der Beschwerdeführerin berufsvorsorgeversichert (auch die Nachdeckungsfrist von einem Monat [ Art. 10 Abs. 3 BVG ] war abgelaufen), hatte der Bruder des Beschwerdegegners die Vorsorgeeinrichtung verlassen, bevor der Vorsorgefall "Tod" eingetreten ist. Damit ist hier der Anspruch auf eine Austrittsleistung im Grundsatz entstanden ( Art. 2 Abs. 1 FZG ). Die Sache wäre auch nicht anders zu beurteilen, wenn W. an den Folgen seiner Krebserkrankung verstorben wäre. Entscheidend ist allein, dass sein im Sommer 2004 ausgebrochenes Leiden nicht zu einer Invalidität geführt hatte, wie das kantonale Gericht ebenfalls zutreffend festgestellt hat.</w:t>
      </w:r>
    </w:p>
    <w:p>
      <w:r>
        <w:rPr>
          <w:b/>
        </w:rPr>
        <w:t>E. 4</w:t>
      </w:r>
    </w:p>
    <w:p>
      <w:r>
        <w:t>Die Beschwerdeführerin wiederholt schliesslich letztinstanzlich den Vorwurf, der Verstorbene habe die Aufnahme der selbstständigen Erwerbstätigkeit lediglich fingiert; es liege ein klarer Rechtsmissbrauch vor. Auch das kantonale Gericht hat das Vorgehen des Bruders des Beschwerdegegners beanstandet und einen Missbrauch der Barauszahlungsbestimmungen als gegeben erachtet, diesen aber nicht im Sinne von Art. 2 Abs. 2 ZGB als offenbar qualifiziert. Dem ist im Ergebnis beizupflichten. Denn das kantonale Gericht hat festgestellt, dass der Verstorbene tatsächlich eine selbstständige Erwerbstätigkeit aufgenommen hat. An dieser Feststellung tatsächlicher Natur sind zwar durchaus Zweifel angebracht. Sie ist jedoch nicht offensichtlich unrichtig und bindet daher das Bundesgericht. Ist somit von einem Barauszahlungsfall auszugehen, kann im Vorgehen des Versicherten kein offenbarer Missbrauch (siehe dazu BGE 131 V 97 E. 4.3.4 S. 105 f.; THOMAS GÄCHTER, Rechtsmissbrauch im öffentlichen Recht, Zürich 2005, S. 67) erblickt werden.</w:t>
      </w:r>
    </w:p>
    <w:p>
      <w:r>
        <w:rPr>
          <w:b/>
        </w:rPr>
        <w:t>E. 5</w:t>
      </w:r>
    </w:p>
    <w:p>
      <w:r>
        <w:t>Da sich der Verstorbene selbstständig gemacht und vor seinem Tod die Barauszahlung verlangt hat, hat das kantonale Gericht die Voraussetzungen, unter denen die Austrittsleistung bar ausgerichtet werden kann (vgl. Art. 5 Abs. 1 lit. b FZG ), zu Recht als erfüllt betrachtet und die Klage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