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208</w:t>
      </w:r>
    </w:p>
    <w:p>
      <w:r>
        <w:t>Bundesgericht (BGE), 2008-04-17, DE</w:t>
      </w:r>
    </w:p>
    <w:p>
      <w:r>
        <w:rPr>
          <w:b/>
        </w:rPr>
        <w:t xml:space="preserve">Quelle: </w:t>
      </w:r>
      <w:r>
        <w:t>https://mcp.opencaselaw.ch/entscheid/bge_BGE_134_V_208</w:t>
      </w:r>
    </w:p>
    <w:p>
      <w:r>
        <w:t>FR: ATF 134 V 208</w:t>
      </w:r>
    </w:p>
    <w:p>
      <w:r>
        <w:t>IT: DTF 134 V 208</w:t>
      </w:r>
    </w:p>
    <w:p>
      <w:pPr>
        <w:pStyle w:val="Heading2"/>
      </w:pPr>
      <w:r>
        <w:t>Regeste</w:t>
      </w:r>
    </w:p>
    <w:p>
      <w:r>
        <w:t>Regeste Art. 19 Abs. 3 BVG und Art. 20 BVV 2 (in den bis Ende 2004 gültig gewesenen Fassungen); Art. 46 der st. gallischen Verordnung vom 5. September 1989 über die Versicherungskasse für das Staatspersonal (VVK/ SG); Umfang der Hinterlassenenleistung an die geschiedene Person. Art. 46 Satz 1 VVK/SG, wonach sich die Ansprüche der geschiedenen Ehegatten "in Voraussetzung und Höhe nach den Vorschriften des BVG über die Ansprüche der geschiedenen Frau" richten, beschränkt den Anspruch auf Hinterlassenenleistungen auf die Minimalleistungen gemäss BVG, d.h. 60 % der obligatorischen BVG-Rente des verstorbenen Ex-Ehegatten (E. 3). Die - in casu gestützt auf Art. 46 Satz 2 VVK/SG anwendbare - Kürzungsregelung des Art. 20 Abs. 2 BVV 2 erlaubt die Anrechnung nur solcher Leistungen, welche durch den Tod des geschiedenen, unterhaltspflichtigen Ehegatten ausgelöst bzw. beeinflusst werden. Die AHV-Altersrente ist daher nicht bzw. lediglich im Umfange einer allfälligen, durch den Todesfall bedingten Erhöhung anrechenbar (E. 4).</w:t>
      </w:r>
    </w:p>
    <w:p>
      <w:r>
        <w:t>Regeste Art. 19 al. 3 LPP et art. 20 OPP 2 (dans leur teneur en vigueur jusqu'au 31 décembre 2004); art. 46 du règlement du 5 septembre 1989 sur la caisse d'assurance du personnel de l'Etat du canton de Saint-Gall; droit du conjoint divorcé à des prestations de survivants. L'art. 46, 1re phrase, du règlement, d'après lequel les droits des conjoints divorcés résultent, quant aux conditions et à l'étendue du droit aux prestations, des dispositions de la LPP sur les droits des femmes divorcées, limite le montant des prestations de survivants au niveau des prestations minimales selon la LPP, soit à 60 % de la rente de la prévoyance professionnelle obligatoire du défunt conjoint (consid. 3). La réduction des prestations prévue à l'art. 20 al. 2 OPP 2 - applicable en vertu de l'art. 46, 2e phrase, du règlement - n'autorise l'imputation de prestations d'autres assurances que dans la mesure où elles résultent du décès du conjoint divorcé débiteur d'entretien ou sont influencées par celui-ci. La rente de vieillesse de l'AVS n'a pas à être imputée, si ce n'est dans la mesure induite par les effets du décès (consid. 4).</w:t>
      </w:r>
    </w:p>
    <w:p>
      <w:r>
        <w:t>Regesto Art. 19 cpv. 3 LPP e art. 20 OPP 2 (nelle loro versioni in vigore fino al 31 dicembre 2004); art. 46 dell'ordinanza 5 settembre 1989 sulla Cassa pensioni dei dipendenti dello Stato del Canton San Gallo (VVK/SG); entità della prestazione per superstiti in favore della persona divorziata. L'art. 46 prima frase della VVK/SG, secondo cui le pretese dei coniugi divorziati si orientano, quanto ai presupposti e all'entità, alle prescrizioni della LPP sulle pretese della donna divorziata, limita il diritto a prestazioni per superstiti alle prestazioni minime giusta la LPP, cioè al 60 % della rendita LPP obbligatoria del defunto ex coniuge (consid. 3). La regola di riduzione dell'art. 20 cpv. 2 OPP 2 - in concreto applicabile sulla base dell'art. 46 seconda frase della VVK/SG - consente il solo computo di quelle prestazioni, che sono provocate, rispettivamente influenzate, dalla morte del coniuge divorziato debitore di un contributo di mantenimento. La rendita di vecchiaia AVS non è pertanto computabile o lo è soltanto nella misura di un eventuale aumento dovuto al decesso (consid. 4).</w:t>
      </w:r>
    </w:p>
    <w:p>
      <w:pPr>
        <w:pStyle w:val="Heading2"/>
      </w:pPr>
      <w:r>
        <w:t>Erwägungen</w:t>
      </w:r>
    </w:p>
    <w:p>
      <w:r>
        <w:rPr>
          <w:b/>
        </w:rPr>
        <w:t>E. 1</w:t>
      </w:r>
    </w:p>
    <w:p>
      <w:r>
        <w:t>Der Beschwerdeführer stellt im Haupt- und Eventualstandpunkt ein Feststellungsbegehren, das indessen im Lichte der Beschwerdebegründung (vgl. Urteil des Eidg. Versicherungsgerichts I 138/02 vom 27. Oktober 2003, E. 3.2.1 nicht publ. in BGE 130 V 61 mit weiteren Hinweisen) als Leistungsbegehren auf Abweisung der Klage zu interpretieren und als solches zulässig ist. BGE 134 V 208 S. 211</w:t>
      </w:r>
    </w:p>
    <w:p>
      <w:r>
        <w:rPr>
          <w:b/>
        </w:rPr>
        <w:t>E. 2.1</w:t>
      </w:r>
    </w:p>
    <w:p>
      <w:r>
        <w:t>Ausser Frage steht, dass die Beschwerdegegnerin Anspruch auf Hinterlassenenleistungen im obligatorischen Umfang gemäss Art. 20 BVV 2 (in der bis 31. Dezember 2004 gültig gewesenen Fassung; vgl. Urteil des Eidg. Versicherungsgerichts B 89/05 vom 13. Februar 2006, E. 1.1) hat, welche Norm der Bundesrat gestützt auf die gesetzliche Delegation in Art. 19 Abs. 3 BVG (SR 831.40; in der bis 31. Dezember 2004 gültig gewesenen Fassung) erlassen hat. Streitig und zu prüfen ist, ob allenfalls ein weitergehender Leistungsanspruch gestützt auf Art. 46 der st. gallischen Verordnung vom 5. September 1989 über die Versicherungskasse für das Staatspersonal (VVK/SG; sGS 143.7) besteht. Die Auslegung dieser kantonalen Bestimmung des öffentlichen Berufsvorsorgerechts prüft das Bundesgericht - auf qualifizierte Rüge hin ( Art. 106 Abs. 2 BGG ) - frei (vgl. BGE 134 V 199 E. 1.2).</w:t>
      </w:r>
    </w:p>
    <w:p>
      <w:r>
        <w:rPr>
          <w:b/>
        </w:rPr>
        <w:t>E. 2.2</w:t>
      </w:r>
    </w:p>
    <w:p>
      <w:r>
        <w:t>Da es sich bei der Versicherungskasse um eine öffentlich-rechtliche Vorsorgeeinrichtung handelt ( Art. 1 Abs. 2 VVK /SG), hat die Auslegung der einschlägigen Bestimmungen der VVK/SG - anders als die Auslegung der Vorsorgereglemente privatrechtlicher Versicherungsträger - nach den gewöhnlichen Regeln der Gesetzesauslegung zu erfolgen ( BGE 133 V 314 E. 4.1 S. 316 f. mit Hinweisen). Danach ist das Gesetz in erster Linie nach seinem Wortlaut auszulegen. Ist der Text nicht ganz klar und sind verschiedene Auslegungen möglich, so muss nach seiner wahren Tragweite gesucht werden unter Berücksichtigung aller Auslegungselemente, namentlich von Sinn und Zweck sowie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130 II 65 E. 4.2 S. 71; BGE 130 V 229 E. 2.2 S. 232, BGE 130 V 294 E. 5.3.1 S. 295, 424 E. 3.2 S. 428 f., 472 E. 6.5.1 S. 475, 479 E. 5.2 S. 484; BGE 129 V 283 E. 4.2 S. 284 f.).</w:t>
      </w:r>
    </w:p>
    <w:p>
      <w:r>
        <w:rPr>
          <w:b/>
        </w:rPr>
        <w:t>E. 3.1</w:t>
      </w:r>
    </w:p>
    <w:p>
      <w:r>
        <w:t>Art. 46 VVK /SG lautet: "Die Ansprüche der geschiedenen Ehegatten richten sich in Voraussetzung und Höhe nach den Vorschriften des BVG über die Ansprüche der BGE 134 V 208 S. 212 geschiedenen Frau. Die Leistungen werden im Umfang des nach den Vorschriften des BVG Zulässigen gekürzt."</w:t>
      </w:r>
    </w:p>
    <w:p>
      <w:r>
        <w:rPr>
          <w:b/>
        </w:rPr>
        <w:t>E. 3.1.1</w:t>
      </w:r>
    </w:p>
    <w:p>
      <w:r>
        <w:t>Gemäss Vorinstanz und Beschwerdegegnerin bezieht sich der in Art. 46 Satz 1 VVK /SG enthaltene Verweis auf die "Vorschriften des BVG über die Ansprüche der geschiedenen Frau" lediglich auf die Anspruchsvoraussetzungen und den Prozentsatz der Anspruchshöhe, d.h. 60 % der Altersrente ( Art. 21 Abs. 2 BVG in Verbindung mit Art. 20 Abs. 1 BVV 2 [je in der bis 31. Dezember 2004 gültig gewesenen Fassung]; vgl. Urteil B 89/05 vom 13. Februar 2006, E. 2.4.1); deren konkrete Höhe dagegen bemesse sich nicht nach dem "Quantitativ der BVG-Altersguthaben", sondern nach den weitergehenden Bestimmungen der VVK/SG. Das kantonale Gericht hat diesen Standpunkt im Wesentlichen damit begründet, die Versicherungskasse begrenze ihre Leistungen - als eine sog. "umhüllende" Vorsorgeeinrichtung - nicht auf das BVG- Minimum, sondern decke allgemein weitergehende (vor- und überobligatorische) Ansprüche ab. Grundlage der Leistungsberechnung bilde die versicherte Besoldung in Verbindung mit einem nach dem Alter abgestuften Rentensatz; die Bemessung der einzelnen Leistungen (Invalidenrente, Ehegattenrente, Kinderrente) erfolge in den Art. 40, 45 und 51 VVK /SG immer in Relation zur (überobligatorischen) Altersrente. Würde für die Rente der geschiedenen Ehefrau eine ganz andere Berechnungsbasis gelten, so hätte der Verordnungsgeber dies ausdrücklich anordnen müssen. Es entspreche jedoch nicht dem Sinn der VVK/SG, geschiedene Ehegatten schlechter zu behandeln als verwitwete Ehegatten, mit Ausnahme der Kürzungsmöglichkeit nach Art. 20 Abs. 2 BVV 2 . Basis und Bezugsgrösse für die Berechnung der Rentenleistungen - auch der Hinterlassenenrente des geschiedenen Ehegatten - bleibe stets die Altersrente gemäss VVK/SG.</w:t>
      </w:r>
    </w:p>
    <w:p>
      <w:r>
        <w:rPr>
          <w:b/>
        </w:rPr>
        <w:t>E. 3.1.2</w:t>
      </w:r>
    </w:p>
    <w:p>
      <w:r>
        <w:t>Nach Auffassung des Beschwerdeführers dagegen verweist Art. 46 Satz 1 VVK /SG integral auf die BVG-Minimalleistungen; die Rente der Beschwerdegegnerin gemäss Art. 46 VVK /SG sei mithin auf der Grundlage des BVG-Altersguthabens (des Verstorbenen) zu berechnen. Dies ergebe sich namentlich aus den letztinstanzlich beigelegten Gesetzesmaterialien.</w:t>
      </w:r>
    </w:p>
    <w:p>
      <w:r>
        <w:rPr>
          <w:b/>
        </w:rPr>
        <w:t>E. 3.2</w:t>
      </w:r>
    </w:p>
    <w:p>
      <w:r>
        <w:t>Der Wortlaut des Art. 46 VVK /SG lässt nach den zutreffenden vorinstanzlichen Erwägungen beide genannten Lesarten zu, weshalb der Norminhalt unter Berücksichtigung weiterer Auslegungselemente zu ermitteln ist (vgl. E. 2.2 hievor und E. 3.3 ff. hiernach). BGE 134 V 208 S. 213 Bereits aus dem Verordnungstext wird aber deutlich, dass die Bemessungsbasis für die Ansprüche des geschiedenen Ehegatten einerseits und für die Kinder-, Ehegatten- und Invalidenrenten andererseits entgegen der Argumentation der Vorinstanz (E. 3.1.1 hievor) nicht die gleiche ist: Während Art. 40 (Kinderrente), Art. 45 (Ehegattenrente) und Art. 51 VVK /SG (Invalidenrente) ausdrücklich die - vorstehend in Art. 34 VVK /SG geregelte - "Altersrente" als Bemessungsbasis nennen, verweist Art. 46 VVK /SG gerade nicht auf die Altersrente gemäss VVK/SG, sondern sowohl in Bezug auf die Voraussetzungen als auch die Höhe der Ansprüche auf das BVG.</w:t>
      </w:r>
    </w:p>
    <w:p>
      <w:r>
        <w:rPr>
          <w:b/>
        </w:rPr>
        <w:t>E. 3.3</w:t>
      </w:r>
    </w:p>
    <w:p>
      <w:r>
        <w:t>Die gesetzessystematisch klare Abgrenzung der Ehegattenrente gemäss Art. 45 VVK /SG ("70 Prozent der Alters- oder der Invalidenrente") vom Anspruch des geschiedenen Ehegatten gemäss Art. 46 VVK /SG ("richten sich ... nach den Vorschriften des BVG") spricht für eine vom Verordnungsgeber beabsichtigte Ungleichbehandlung von verwitweten und geschiedenen Ehegatten. Eine solche ist denn auch bereits insofern vorgesehen, als die Rente des verwitweten Ehegatten 70 % der Altersrente ( Art. 45 VVK / SG), diejenige des geschiedenen Ehegatten jedoch - entsprechend der Regelung des BVG ( Art. 46 VVK /SG in Verbindung mit Art. 21 Abs. 2 BVG und Art. 20 Abs. 1 BVV 2 ) - nur 60 % beträgt. Ungeachtet der hier umstrittenen Frage, worauf sich diese 60 % beziehen, steht mithin ausser Frage, dass der Verordnungsgeber die verwitweten und die geschiedenen Ehegatten bezüglich der Höhe der Hinterlassenenrenten nicht gleich behandeln wollte.</w:t>
      </w:r>
    </w:p>
    <w:p>
      <w:r>
        <w:rPr>
          <w:b/>
        </w:rPr>
        <w:t>E. 3.4</w:t>
      </w:r>
    </w:p>
    <w:p>
      <w:r>
        <w:t>Die unterschiedliche Behandlung der geschiedenen und verwitweten Ehegatten ist weder gesetz- noch verfassungswidrig. Im Gegenteil trägt sie sachlich dem Umstand Rechnung, dass mit der Scheidung grundsätzlich (unter Vorbehalt der scheidungsrechtlich festgelegten Unterhaltsleistungen) die Beziehungen zwischen den Ehegatten beendet werden (Urteile des Eidg. Versicherungsgerichts B 112/05 vom 22. Dezember 2006, E. 4.2 und 4.3; B 85/04 vom 20. Dezember 2005, E. 3.2 und 3.4.2; B 87/04 vom 21. Dezember 2005, E. 5.5), welcher Gesichtspunkt für die Auslegung von Vorsorgereglementen herangezogen werden kann (Urteil des Eidg. Versicherungsgerichts B 9/04 vom 28. Dezember 2005, E. 2.4.2). Sie lässt sich übrigens auch versicherungstechnisch rechtfertigen, riskiert doch die Vorsorgeeinrichtung, dass sie bei wiederholter Verheiratung einer versicherten Person mehrere Hinterlassenenrenten ausrichten muss. Es ist daher nicht ungewöhnlich, dass ein BGE 134 V 208 S. 214 Reglement die Ansprüche der geschiedenen Hinterlassenen auf das BVG- Minimum beschränkt, auch wenn im Übrigen weitergehende Leistungen gewährt werden ( BGE 119 V 289 E. 6b S. 295, dt. Übersetzung publ. in: Pra 83/1994 Nr. 100 S. 346).</w:t>
      </w:r>
    </w:p>
    <w:p>
      <w:r>
        <w:rPr>
          <w:b/>
        </w:rPr>
        <w:t>E. 3.5.1</w:t>
      </w:r>
    </w:p>
    <w:p>
      <w:r>
        <w:t>Das Bundesgericht hat in ständiger Rechtsprechung Reglementsbestimmungen, wonach die geschiedene Witwe Anspruch auf die Mindestleistungen gemäss BVG hat, so ausgelegt, dass dieser Anspruch die nach BVG tiefstmöglichen Leistungen gewährt ( BGE 119 V 289 E. 6b S. 294 f.; Urteile des Eidg. Versicherungsgerichts B 85/04 vom 20. Dezember 2005, E. 3.2; B 87/04 vom 21. Dezember 2005, E. 5; B 112/05 vom 22. Dezember 2006, E. 4.1; vgl. auch Urteil B 10/93 vom 28. Februar 1994, E. 3b, publ. in: SVR 1994 BVG Nr. 8 S. 21). Es hat in diesem Zusammenhang namentlich auch festgehalten, die meisten registrierten Vorsorgeeinrichtungen würden in den einschlägigen Reglementen den Anspruch der geschiedenen Frau auf das gesetzliche Minimum beschränken, auch wenn für die Witwen "im eigentlichen Sinn" günstigere Leistungen vorgesehen seien ( BGE 119 V 289 E. 6b S. 294 f., dt. Übersetzung publ. in: Pra 83/1994 Nr. 100 S. 346).</w:t>
      </w:r>
    </w:p>
    <w:p>
      <w:r>
        <w:rPr>
          <w:b/>
        </w:rPr>
        <w:t>E. 3.5.2</w:t>
      </w:r>
    </w:p>
    <w:p>
      <w:r>
        <w:t>Im Unterschied zu den in den zitierten Urteilen massgebenden Reglementen spricht Art. 46 VVK /SG allerdings nicht ausdrücklich von Mindestleistungen. Im Urteil B 89/05 vom 13. Februar 2006, auf das sich die Vorinstanz beruft, hat das Eidg. Versicherungsgericht eine Reglementsbestimmung, wonach die geschiedene Frau Anspruch auf eine "Witwenrente gemäss BVG" hat, so ausgelegt, dass damit auf den Prozentsatz gemäss Art. 21 BVG verwiesen, dieser aber nach der (weitergehenden) reglementarischen Altersrente bemessen werde. Ebenso hat es die in den (damaligen) Pensionskassenregelungen des Bundes enthaltene Bestimmung, wonach die Ehegattenrente der Witwenrente nach BVG entspricht, als Verweis auf den Prozentsatz der Hinterlassenenrente für den geschiedenen Ehegatten nach Art. 21 BVG ausgelegt; Bezugsgrösse sei aber die reglementarische Alters- oder Invalidenrente (Urteile des Eidg. Versicherungsgerichts B 59/99 vom 22. Mai 2002, E. 3b; B 52/00 vom 15. Januar 2001, E. 2b). Diese Urteile wurden ausser mit dem Hinweis auf den (im hier zu beurteilenden Fall freilich nicht eindeutigen, vgl. vorne E. 3.2) Wortlaut einerseits damit begründet, dass der Formulierung sonst auch eine zeitliche Bedeutung zukäme (weil die vorobligatorisch erworbenen BGE 134 V 208 S. 215 Altersgutschriften unberücksichtigt blieben), was Gegenstand spezifischer Übergangsbestimmungen hätte sein müssen (Urteil B 89/05 vom 13. Februar 2006, E. 2.4.2). Andererseits erwog das Eidg. Versicherungsgericht, bei der Hinterlassenenleistung an geschiedene Personen handle es sich um eine eigenständige, vom BVG losgelöste Leistung, was sich bereits daraus ergebe, dass sie im Unterschied zum BVG ( Art. 19 Abs. 3 BVG in Verbindung mit Art. 20 BVV 2 [je in der bis 31. Dezember 2004 gültig gewesenen Fassungen]) auch dem geschiedenen Ehemann zukommen könne (Urteile B 59/99 vom 22. Mai 2002, E. 3b; B 52/00 vom 15. Januar 2001, E. 2b). Zu diesen Begründungselementen ist jedoch festzuhalten, dass auch diejenigen Regelungen, welche die Leistungen der geschiedenen Ehegatten ausdrücklich auf das BVG-Minimum beschränken (s. vorne E. 3.5.1), sich in ihren Übergangsbestimmungen nicht zum zeitlichen Aspekt dieser Beschränkung äussern. Sodann ist die in der hier massgebenden Fassung der VVK/SG - anders als in der ursprünglichen Fassung der VVK/SG (vom 11. Dezember 1984) und des BVG (vom 25. Juni 1982) - enthaltene Ausweitung des Rentenanspruchs auf den geschiedenen Ehemann darauf zurückzuführen, dass eine anderslautende Regelung verfassungswidrig wäre ( Art. 8 Abs. 3 BV ; BGE 123 V 189 E. 4f S. 192; BGE 116 V 198 E. II.2 S. 207 ff.) und daher vom kantonalen Verordnungsgeber anzupassen war ( Art. 2 ÜbBest. aBV [ Art. 49 Abs. 1 BV ]; vgl. E. 3.6 hiernach); demgegenüber stand einer Korrektur der analogen Regelung von aArt. 19 Abs. 3 BVG durch das Bundesgericht Art. 190 BV (bzw. aArt. 191 BV und Art. 114 bis Abs. 3 aBV ) entgegen. Dass gemäss Art. 46 VVK /SG auch der geschiedene Ehegatte eine Hinterlassenenrente beanspruchen kann, bedeutet mithin nicht, dass der st. gallische Verordnungsgeber damit eine eigenständige, vom BVG völlig losgelöste Leistung schaffen wollte; eine solche Annahme stünde vielmehr im Gegensatz zum ausdrücklichen Verweis auf das BVG in Art. 46 VVK /SG.</w:t>
      </w:r>
    </w:p>
    <w:p>
      <w:r>
        <w:rPr>
          <w:b/>
        </w:rPr>
        <w:t>E. 3.6.1</w:t>
      </w:r>
    </w:p>
    <w:p>
      <w:r>
        <w:t>Zu beachten sind schliesslich die Materialien zur VVK/SG, welche der Beschwerde beigelegt sind (vgl. E. 3.1.2 hievor). Dabei handelt es sich entgegen der Auffassung der Beschwerdegegnerin nicht um unzulässige Noven ( Art. 99 Abs. 1 BGG ): Das Novenverbot gilt für neue Tatsachen und Beweismittel, bezieht sich mithin auf die Sachverhaltsebene (ULRICH MEYER, in: Niggli/Uebersax/ Wiprächtiger [Hrsg.], Basler Kommentar zum BGG, Basel 2008, BGE 134 V 208 S. 216 N. 19 ff. zu Art. 99 BGG ). Materialien betreffen demgegenüber die Auslegung von Rechtsbegriffen; sie gehören somit zur Rechtsanwendung und können deshalb auch erst letztinstanzlich vorgebracht werden (vgl. MEYER, a.a.O., N. 23 zu Art. 99 BGG ).</w:t>
      </w:r>
    </w:p>
    <w:p>
      <w:r>
        <w:rPr>
          <w:b/>
        </w:rPr>
        <w:t>E. 3.6.2</w:t>
      </w:r>
    </w:p>
    <w:p>
      <w:r>
        <w:t>In der Botschaft vom 11. Dezember 1984 zur Verordnung über die Versicherungskasse für das Staatspersonal wies der Regierungsrat darauf hin, dass infolge des Inkrafttretens des BVG die (alte) Verordnung über die Versicherungskasse für das Staatspersonal anzupassen sei (S. 1). Zu den wesentlichen Postulaten des BVG gehörten Ansprüche der geschiedenen Frau auf Vorsorgeleistungen (S. 4). Dementsprechend führte der kantonale Verordnungsgeber einen neuen Art. 27 bis ein mit dem Wortlaut: "Die Ansprüche der geschiedenen Frau richten sich nach den Vorschriften des BVG." Nach den Erläuterungen des Regierungsrates handelte es sich dabei um eine "Anpassung an Art. 19 Abs. 2 BVG und Uebernahme von Art. 20 BVV 2 " (a.a.O., S. 17). Mit der späteren Totalrevision von 1989 wurden u.a. die "vollständige Gleichstellung von Mann und Frau als Auswirkung von Art. 4 Abs. 2 der Bundesverfassung" (u.a. gleiche Witwen- und Witwerrente) und die Herstellung der Konformität mit den zwingenden Vorschriften des BVG beabsichtigt (Botschaft des Regierungsrates vom 5. September 1989 zur Verordnung über die Versicherungskasse für das Staatspersonal, S. 3). Diese Materialien lassen zwar nicht auf den konkreten Willen des historischen Verordnungsgebers zu Art. 46 VVK /SG schliessen, bestärken aber doch die Darstellung des Beschwerdeführers, wonach mit den Änderungen bezüglich der Leistungen an den geschiedenen Ehegatten das kantonale Recht gezielt an die übergeordneten Bestimmungen des Bundesrechts (BVG sowie Art. 4 Abs. 2 aBV ) angepasst werden sollte. Ursprünglich zu Gunsten der geschiedenen Ehegatten ins Auge gefasste Verbesserungen (vgl. Erster Bericht des Finanzdepartements an den Regierungsrat zur Revision der Verordnung über die Versicherungskasse für das Staatspersonal, Entwurf vom 24. Februar 1989, S. 33) wurden in der Folge nicht realisiert. Anhaltspunkte dafür, dass für die geschiedenen Ehegatten überobligatorische Leistungen beabsichtigt gewesen wären, ergeben sich aus den Materialien keine, entgegen der Auffassung der Beschwerdegegnerin namentlich auch nicht daraus, dass in einer Fussnote zu Art. 46 VVK /SG auf Art. 19 Abs. 3, Art. 21 und 24 BVG sowie Art. 20 BVV 2 hingewiesen wird (s. Botschaft des Regierungsrates vom 5. September 1989, S. 42, Fn. 18); die damals BGE 134 V 208 S. 217 geltende Fassung des Art. 21 Abs. 2 BVG sah eine Witwenrente in der Höhe von 60 % der "Altersrente" vor, womit - insbesondere bei systematischer Auslegung - auf die nach den Art. 14 ff. BVG berechnete Altersrente (mithin auf das Obligatorium) Bezug genommen wird.</w:t>
      </w:r>
    </w:p>
    <w:p>
      <w:r>
        <w:rPr>
          <w:b/>
        </w:rPr>
        <w:t>E. 3.7</w:t>
      </w:r>
    </w:p>
    <w:p>
      <w:r>
        <w:t>Im Lichte der verschiedenen Auslegungselemente ergibt sich, dass Art. 46 VVK /SG der Beschwerdegegnerin einen Rentenanspruch im Umfang von 60 % der obligatorischen BVG-Rente ihres geschiedenen Ehemannes einräumt.</w:t>
      </w:r>
    </w:p>
    <w:p>
      <w:r>
        <w:rPr>
          <w:b/>
        </w:rPr>
        <w:t>E. 4</w:t>
      </w:r>
    </w:p>
    <w:p>
      <w:r>
        <w:t>Umstritten ist weiter die Tragweite des Art. 46 Satz 2 VVK / SG, wonach die Leistungen "im Umfang des nach den Vorschriften des BVG Zulässigen" gekürzt werden. Ausser Frage steht dabei, dass sich der Verweis in Art. 46 Satz 2 VVK /SG auf den einschlägigen Art. 20 Abs. 2 BVV 2 bezieht.</w:t>
      </w:r>
    </w:p>
    <w:p>
      <w:r>
        <w:rPr>
          <w:b/>
        </w:rPr>
        <w:t>E. 4.1</w:t>
      </w:r>
    </w:p>
    <w:p>
      <w:r>
        <w:t>Gemäss Art. 20 Abs. 2 BVV 2 kann die Leistung der Vorsorgeeinrichtung um jenen Betrag gekürzt werden, um den sie zusammen mit den Leistungen der übrigen Versicherungen, insbesondere AHV und IV, den Anspruch aus dem Scheidungsurteil übersteigt. Nach Auffassung des Beschwerdeführers fällt unter die anrechenbaren Leistungen auch die der Beschwerdegegnerin ausgerichtete, den Unterhaltsanspruch aus dem Scheidungsurteil betragsmässig übersteigende AHV-Altersrente mit der Folge, dass kein vorsorgerechtlicher Rentenanspruch bestünde. Die Vorinstanz hat eine entsprechende Anrechnung unter Berufung auf das Urteil des Eidg. Versicherungsgerichts B 6/99 vom 11. Juni 2001 (publ. in: SVR 2001 BVG Nr. 19 S. 73 = SZS 2003 S. 52) abgelehnt. In jenem Urteil erwog das Eidg. Versicherungsgericht, Art. 20 BVV 2 , einschliesslich der Kürzungsmöglichkeit gemäss Abs. 2, bezwecke den Ersatz des Versorgerschadens, den die geschiedene Frau durch den Tod des früheren Ehegatten und den damit verbundenen Wegfall der Unterhaltsbeiträge erleide. Solange die geschiedene Ehefrau eine Witwenrente der AHV beziehe, habe die Vorsorgeeinrichtung nur den zufolge des Wegfalls der Unterhaltsbeiträge allenfalls verbleibenden Versorgerschaden auszugleichen. Für die Beurteilung des Anspruchs auf eine Witwenrente der beruflichen Vorsorge sei daher entscheidend, ob der durch den Tod des früheren Ehemannes erlittene Versorgerschaden durch neu entstandene Leistungsansprüche gegenüber anderen Versicherungen ausgeglichen werde. Dementsprechend wurde im genannten Urteil die (bereits vor dem BGE 134 V 208 S. 218 Todesfall ausgerichtete und durch diesen nicht beeinflusste) AHV- Altersrente im Rahmen von Art. 20 Abs. 2 BVV 2 nicht berücksichtigt. Das Eidg. Versicherungsgericht beschränkte damit die Anrechenbarkeit implizit auf kongruente Leistungen (vgl. HANS MICHAEL RIEMER/GABRIELA RIEMER-KAFKA, Das Recht der beruflichen Vorsorge in der Schweiz, 2. Aufl., Bern 2006, S. 155).</w:t>
      </w:r>
    </w:p>
    <w:p>
      <w:r>
        <w:rPr>
          <w:b/>
        </w:rPr>
        <w:t>E. 4.2</w:t>
      </w:r>
    </w:p>
    <w:p>
      <w:r>
        <w:t>Der Beschwerdeführer kritisiert den zitierten Entscheid. Ausgangspunkt der nach Art. 20 Abs. 2 BVV 2 allenfalls bestehenden Leistungspflicht der beruflichen Vorsorge sei der zugesprochene scheidungsrechtliche Unterhaltsanspruch. Leistungen der beruflichen Vorsorge könnten nicht höher sein als das damit geschützte berufliche Einkommen bzw. - im Fall der geschiedenen Frau - die scheidungsrechtliche Unterhaltsverpflichtung des Verstorbenen. Deren Umfang könne bei erheblicher Änderung der finanziellen Verhältnisse angepasst werden (Art. 128 f. ZGB; aArt. 153 Abs. 2 ZGB). Zu einer solchen Änderung trage namentlich auch die Auszahlung einer AHV-Altersrente an die unterhaltsberechtigte Person bei. Sei aber die AHV-Altersrente für die Höhe des scheidungsrechtlichen Unterhaltsanspruchs (mit-)massgebend, müsse sie auch im Rahmen von Art. 20 Abs. 2 BVV 2 Berücksichtigung finden, andernfalls der "koordinationsrechtliche" Zweck dieser Norm verfehlt werde. Die bundesgerichtliche Auffassung, wonach die Altersrente nicht anzurechnen sei, widerspreche dem Wortlaut von Art. 20 Abs. 2 BVV 2 und führe zu einer Ungleichbehandlung der geschiedenen Person je nachdem, ob sie beim Tod ihres ehemaligen Ehegatten vor oder nach dem AHV-Rentenalter steht: Im ersten Fall werde ihr der auf dem Scheidungsurteil beruhende Versorgerschaden über die AHV-Witwen-/Witwerrente ausgeglichen, jedoch ohne oder mit reduzierter Rente aus beruflicher Vorsorge. Nach dem AHV-Alter dagegen würde sie den Versorgerschaden durch die Rente der beruflichen Vorsorge vollständig ausgeglichen erhalten, zusätzlich aber auch die AHV-Altersrente beziehen.</w:t>
      </w:r>
    </w:p>
    <w:p>
      <w:r>
        <w:rPr>
          <w:b/>
        </w:rPr>
        <w:t>E. 4.3.1</w:t>
      </w:r>
    </w:p>
    <w:p>
      <w:r>
        <w:t>Nach dem - insoweit klaren - Wortlaut von Art. 20 Abs. 2 BVV 2 werden die "Leistungen der übrigen Versicherungen, insbesondere AHV und IV" angerechnet. Eine Einschränkung auf AHV- Hinterlassenenrenten unter Ausschluss der AHV-Altersrenten ist dem Wortlaut nicht zu entnehmen. Vom klaren Wortlaut einer Vorschrift kann indessen abgewichen werden, wenn dafür triftige Gründe bestehen. Solche Gründe können sich aus der Entstehungsgeschichte BGE 134 V 208 S. 219 der Bestimmung, aus ihrem Grund und Zweck oder aus dem Zusammenhang mit andern Vorschriften ergeben ( BGE 133 III 497 E. 4.1 S. 499; BGE 132 III 18 E. 4.1 S. 20; BGE 132 V 321 E. 6.1 S. 326).</w:t>
      </w:r>
    </w:p>
    <w:p>
      <w:r>
        <w:rPr>
          <w:b/>
        </w:rPr>
        <w:t>E. 4.3.2</w:t>
      </w:r>
    </w:p>
    <w:p>
      <w:r>
        <w:t>Der Beschwerdeführer erblickt eine Bestärkung der wörtlichen Auslegung darin, dass in Art. 20 Abs. 2 BVV 2 nebst den AHV- auch die IV-Leistungen genannt sind. Da die Invalidenversicherung keine Hinterlassenenrenten kennt, kann es sich bei deren Leistungen von vornherein nur um solche handeln, die dem geschiedenen Ehegatten aus eigenem Recht zustehen. Indessen ist nicht ausgeschlossen, dass die IV-Rente durch den Tod des ehemaligen Ehegatten beeinflusst wird ( Art. 43 Abs. 1 IVG , Art. 24b AHVG ). Dass in Art. 20 Abs. 2 BVV auch die IV-Leistungen erwähnt sind, schliesst daher eine Auslegung nicht aus, wonach Leistungen nur anzurechnen sind, soweit sie durch den Todesfall beeinflusst werden (vgl. Urteil des Eidg. Versicherungsgerichts B 1/06 vom 2. Juni 2006; URS ENGLER, Unterhaltsbeitrag und BVG-Leistungen an geschiedene Frauen, in: BJM 1991 S. 169 ff., 176).</w:t>
      </w:r>
    </w:p>
    <w:p>
      <w:r>
        <w:rPr>
          <w:b/>
        </w:rPr>
        <w:t>E. 4.3.3</w:t>
      </w:r>
    </w:p>
    <w:p>
      <w:r>
        <w:t>Der Beschwerdeführer verweist sodann darauf, dass nach der Rechtsprechung zu Art. 24 Abs. 2 BVV 2 (Urteil B 91/06 vom 29. Juni 2007, E. 3.1, und Urteil des Eidg. Versicherungsgerichts B 14/01 vom 4. September 2001, E. 7) auch die AHV-Altersrente angerechnet wird, obwohl nach dem Wortlaut dieser Bestimmung ausdrücklich nur die Leistungen anzurechnen sind, die "aufgrund des schädigenden Ereignisses ausgerichtet werden". Diesbezüglich ist jedoch der unterschiedliche systematische Kontext des Art. 24 BVV 2 zu beachten: Art. 24 BVV 2 steht im Abschnitt betreffend Überentschädigung und Koordination mit anderen Sozialversicherungen. Die Überentschädigungsregelungen wollen vermeiden, dass der Versicherte nach dem versicherten Ereignis insgesamt besser dasteht als vorher, dies nicht zuletzt im Lichte der verfassungsrechtlichen Vorgaben, wonach die Leistungen der 1. und 2. Säule zusammen (nur) die Fortführung der gewohnten Lebenshaltung in angemessener Weise ermöglichen sollen ( Art. 113 Abs. 2 lit. a BV ); die Überentschädigungsregelung greift denn auch dann, wenn die Hinterlassenenleistungen (oder Invalidenleistungen) zusammen mit den andern anrechenbaren Einkünften 90 % des (gesamten) mutmasslich entgangenen Verdienstes übersteigen ( Art. 24 Abs. 1 BVV 2 ). Art. 20 BVV 2 steht demgegenüber im vorangehenden Abschnitt, welcher die grundsätzliche Höhe der Versicherungsleistung regelt, was einer allfälligen Kürzung wegen BGE 134 V 208 S. 220 Überentschädigung logisch vorangeht. Die Leistungen gemäss Art. 20 BVV 2 sind dabei von vornherein auf die Höhe des scheidungsrechtlichen Anspruchs begrenzt und damit in den meisten Fällen relativ bescheiden, so dass sich die Frage der Überentschädigung in aller Regel nicht stellt. Sollte dies doch einmal vorkommen, so wären selbstverständlich auch die nach Art. 20 BVV 2 berechneten Leistungen gegebenenfalls zusätzlich nach den Regeln von Art. 24 BVV 2 zu kürzen.</w:t>
      </w:r>
    </w:p>
    <w:p>
      <w:r>
        <w:rPr>
          <w:b/>
        </w:rPr>
        <w:t>E. 4.3.4</w:t>
      </w:r>
    </w:p>
    <w:p>
      <w:r>
        <w:t>Art. 20 BVV 2 stützt sich auf Art. 19 Abs. 3 BVG . Aus der Entstehungsgeschichte dieser Bestimmung in der ursprünglichen Fassung geht hervor, dass damit einerseits eine Anlehnung an die Regelung der AHV, andererseits eine Verhinderung von Missbräuchen infolge mehrmaliger Verheiratung und daheriger mehrfacher Leistungspflicht der beruflichen Vorsorge beabsichtigt war (BBl 1976 I 230; AB 1981 N 1048-1053; AB 1982 S 7f.; AB 1982 N 200). Der Bundesversammlung ging es darum, bei der AHV offenbar vorgekommene Missbräuche im Bereich der beruflichen Vorsorge zu vermeiden und eine echte Versorgerschadenregelung einzuführen (MARKUS MOSER, Die zweite Säule und ihre Tragfähigkeit, Basel 1993, S. 147 f.; HANS MICHAEL RIEMER, Familienrechtliche Beziehungen als Leistungsvoraussetzungen gemäss AHVG/IVG, BVG-Obligatorium und freiwilliger beruflicher Vorsorge, in: SZS 1986 S. 169 ff., 181). Die Neufassung von Art. 19 Abs. 3 BVG im Rahmen der 1. BVG-Revision bezweckte nur die Gleichstellung geschiedener Ehemänner und Ehefrauen, brachte sonst aber keine Änderung (BBl 1999 S. 2691). Entsprechend dieser gesetzgeberischen Absicht beschränkte der Bundesrat in Art. 20 Abs. 2 BVV 2 den Anspruch der geschiedenen Frau auf den Versorgerschaden, der in der Regel tiefer liegt als die Leistung, welche die nicht geschiedene Witwe erhalten würde.</w:t>
      </w:r>
    </w:p>
    <w:p>
      <w:r>
        <w:rPr>
          <w:b/>
        </w:rPr>
        <w:t>E. 4.4</w:t>
      </w:r>
    </w:p>
    <w:p>
      <w:r>
        <w:t>Vor diesem Hintergrund ist das Urteil B 6/99 vom 11. Juni 2001 zu bestätigen, wonach es sich bei der Leistung gemäss Art. 20 BVV 2 um einen Ersatz für den Versorgerschaden handelt (vgl. E. 4.1 hievor), betragsmässig beschränkt auf den scheidungsrechtlich zugesprochenen Anspruch (Urteil des Eidg. Versicherungsgerichts B 30/93 vom 21. April 1994, E. 3a, publ. in: SZS 1995 S. 137). Auf dieser Grundlage ist es systemgerecht, die AHV-Altersrente nicht anzurechnen bzw. - so auch das Urteil B 1/06 vom 2. Juni 2006, auf das sich der Beschwerdeführer beruft - nur BGE 134 V 208 S. 221 insoweit, als sie durch den Eintritt des versicherten Ereignisses in der Höhe beeinflusst wird: Idealtypisch setzt sich das Einkommen des geschiedenen, unterhaltsberechtigten Ehegatten aus den Unterhaltsleistungen des ehemaligen Ehegatten und aus dem eigenen Erwerbseinkommen zusammen. Stirbt der unterhaltspflichtige ehemalige Ehegatte vor dem Pensionierungsalter des unterhaltsberechtigten, so erhält dieser allenfalls eine AHV-Hinterlassenenrente ( Art. 24a AHVG ), welche den Wegfall der Unterhaltsleistung kompensiert (und bei der Berechnung der Rente aus beruflicher Vorsorge entsprechend anzurechnen ist); daneben kann weiterhin eine eigene Erwerbstätigkeit ausgeübt werden. Anders verhält es sich, wenn die geschiedene Person im Zeitpunkt des Todes ihres ehemaligen Ehegatten das AHV-Alter erreicht hat: Die ab jenem Zeitpunkt ausgerichtete AHV-Altersrente ersetzt (im Unterschied zur AHV-Hinterlassenenrente) nicht den Wegfall des Unterhaltsanspruchs, sondern den altersbedingten Verlust des eigenen Erwerbseinkommens; sie steht der geschiedenen Person auch dann zu, wenn sie keinen Anspruch auf scheidungsrechtliche Unterhaltsleistungen hat. Ist aber die Altersrente kein Ersatz für den weggefallenen Versorgerschaden, muss dieser durch die Hinterlassenenleistungen der beruflichen Vorsorge abgedeckt werden (vgl. Urteil B 6/99 vom 11. Juni 2001, E. 3c). Dass die geschiedene Person nebst dem Ausgleich des Versorgerschadens die Altersrente erhält und insoweit versicherungsrechtlich anders gestellt ist als vor Erreichen des AHV-Alters, stellt keine systemwidrige Besonderheit dar; die Altersrente wird allen Versicherten an Stelle des weggefallenen Erwerbseinkommens und zusätzlich zu allfälligen anderen Einkommen ausgerichtet.</w:t>
      </w:r>
    </w:p>
    <w:p>
      <w:r>
        <w:rPr>
          <w:b/>
        </w:rPr>
        <w:t>E. 4.5</w:t>
      </w:r>
    </w:p>
    <w:p>
      <w:r>
        <w:t>Im Sinne vorstehender Erwägungen haben auch der Bundesrat bzw. das Bundesamt für Sozialversicherungen (BSV) immer den Standpunkt vertreten, Art. 20 Abs. 2 BVV gelte nur für kongruente Leistungen, d.h. Leistungen, die durch den Tod des ehemaligen Ehegatten ausgelöst werden; nicht dazu gehöre die auf einem anderen Versicherungsfall basierende Altersrente der AHV, es sei denn, diese erfahre durch den Tod des geschiedenen Mannes eine Erhöhung (Mitteilungen des BSV über die berufliche Vorsorge Nr. 1 vom 24. Oktober 1986, Ziff. 2.; Botschaft des Bundesrates vom 15. November 1995 über die Änderung des ZGB, BBl 1996 I 101). Gleicher Auffassung ist die mehrheitliche Lehre (ENGLER, a.a.O., S. 176; MOSER, a.a.O., S. 153; a.M. GERHARD BGE 134 V 208 S. 222 GERHARDS, Grundriss 2. Säule, Bern 1990, S. 76, allerdings ausgehend von unzutreffenden Grundlagen), ebenso die von der Kommission für Soziale Fragen der Schweizerischen Vereinigung privater Lebensversicherer herausgegebene BVG-Fibel (2. Aufl., 1991, S. 66 f.). Es trifft zwar zu, dass damit die Vorsorgeeinrichtung möglicherweise für den gleichen Versicherten Hinterlassenenrenten für mehrere Ehegatten bezahlen muss, doch hat der Gesetzgeber diese Doppelbelastung offenbar als zumutbar erachtet (AB 1981 N 1051 f., Berichterstatter Barchi). Sie ist zudem insofern beschränkt, als von Bundesrechts wegen kein Anspruch auf mehr als das BVG-Obligatorium besteht (vgl. vorne E. 3). An der Rechtsprechung gemäss Urteil B 6/99 vom 11. Juni 2001 ist daher entgegen der Auffassung des Beschwerdeführers festzuhalten.</w:t>
      </w:r>
    </w:p>
    <w:p>
      <w:r>
        <w:rPr>
          <w:b/>
        </w:rPr>
        <w:t>E. 5</w:t>
      </w:r>
    </w:p>
    <w:p>
      <w:r>
        <w:t>Der Beschwerdeführer beanstandet schliesslich die Höhe der scheidungsrechtlichen Unterhaltsrente; diese betrage richtigerweise nicht Fr. 1'530.40, sondern nur Fr. 1'400.- pro Monat. Höchstens bis zum letztgenannten Betrag könne daher eine Rente der beruflichen Vorsorge geschuldet sein. Es ist unbestritten, dass der geschiedene Ehemann der Beschwerdegegnerin verpflichtet war, ihr eine indexierte Rente von Fr. 1'200.- (Indexstand 31. Dezember 1989) zu bezahlen, und dies per 1. Januar 2004 einer Rente von Fr. 1'530.40 entspricht. Ebenfalls unbestritten ist, dass der geschiedene Ehemann in der Zeit vor seinem Tod im Jahre 2004 lediglich eine Rente von Fr. 1'400.- bezahlt hatte. Der Beschwerdeführer macht geltend, durch stillschweigende Übereinkunft zwischen den geschiedenen Eheleuten sei die Rente auf diese Höhe plafoniert worden. Die Vorinstanz hat indessen festgestellt, dass die ehemaligen Ehegatten den Anspruch nicht einvernehmlich auf Fr. 1'400.- gekürzt hatten, sondern seitens der Klägerin lediglich darauf verzichtet wurde, rechtliche Schritte gegen die Missachtung der Indexierung einzuleiten. Diese Sachverhaltsfeststellung ist für das Bundesgericht verbindlich ( Art. 105 BGG ). Massgebend für den Umfang des Anspruchs ist der im Scheidungsurteil oder allenfalls in einem Abänderungsurteil festgelegte Betrag, ungeachtet allenfalls davon abweichender tatsächlicher Zahlungen (Urteil B 30/93 vom 21. April 1994, E. 3a, publ. in: SZS 1995 S. 137).</w:t>
      </w:r>
    </w:p>
    <w:p>
      <w:r>
        <w:rPr>
          <w:b/>
        </w:rPr>
        <w:t>E. 6</w:t>
      </w:r>
    </w:p>
    <w:p>
      <w:r>
        <w:t>Zusammenfassend ergibt sich, dass der Beschwerdeführer der Beschwerdegegnerin eine Rente in der Höhe des BGE 134 V 208 S. 223 BVG-Obligatoriums, höchstens aber Fr. 1'530.40 pro Monat schuldet, wovon die AHV-Altersrente der Beschwerdegegnerin nicht abzuziehen ist. Die Höhe der obligatorischen BVG-Rente ist nicht liquid: Mit Schreiben vom 4. Januar 2005 hatte der Beschwerdeführer eine Rente von monatlich Fr. 684.50 in Aussicht gestellt. Mit Schreiben vom 5. Januar 2005 war diese auf Fr. 787.45 korrigiert worden. In der vorinstanzlichen Klageantwort errechnete er alsdann eine Rente von Fr. 6'632.55 pro Jahr bzw. Fr. 552.70 pro Monat, welche Berechnung von der heutigen Beschwerdegegnerin replikweise bestritten wurde. Die Vorinstanz hatte aufgrund ihrer Rechtsauffassung keinen Anlass, die Höhe im Einzelnen zu überprüfen. Gestützt auf das heutige Urteil wird sie dies vorzunehmen haben.</w:t>
      </w:r>
    </w:p>
    <w:p>
      <w:r>
        <w:rPr>
          <w:b/>
        </w:rPr>
        <w:t>E. 7</w:t>
      </w:r>
    </w:p>
    <w:p>
      <w:r>
        <w:t>(Kosten-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