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170</w:t>
      </w:r>
    </w:p>
    <w:p>
      <w:r>
        <w:t>Bundesgericht (BGE), 2008-03-12, DE</w:t>
      </w:r>
    </w:p>
    <w:p>
      <w:r>
        <w:rPr>
          <w:b/>
        </w:rPr>
        <w:t xml:space="preserve">Quelle: </w:t>
      </w:r>
      <w:r>
        <w:t>https://mcp.opencaselaw.ch/entscheid/bge_BGE_134_V_170</w:t>
      </w:r>
    </w:p>
    <w:p>
      <w:r>
        <w:t>FR: ATF 134 V 170</w:t>
      </w:r>
    </w:p>
    <w:p>
      <w:r>
        <w:t>IT: DTF 134 V 170</w:t>
      </w:r>
    </w:p>
    <w:p>
      <w:pPr>
        <w:pStyle w:val="Heading2"/>
      </w:pPr>
      <w:r>
        <w:t>Regeste</w:t>
      </w:r>
    </w:p>
    <w:p>
      <w:r>
        <w:t>Regeste Art. 4 Abs. 4 BVG; Vorbezug und Barauszahlung des in der freiwilligen beruflichen Vorsorge angesparten Alterskapitals. Entgegen dem Wortlaut von Art. 4 Abs. 4 BVG sind im Rahmen der freiwilligen Versicherung der Vorbezug und die Barauszahlung von Beiträgen sowie Einlagen in die Vorsorgeeinrichtung in klar bestimmten Schranken, namentlich für Betriebsinvestitionen, zulässig, wie eine Auslegung der Bestimmung insbesondere aufgrund der Gesetzesmaterialien und der Systematik ergibt (E. 4).</w:t>
      </w:r>
    </w:p>
    <w:p>
      <w:r>
        <w:t>Regeste Art. 4 al. 4 LPP; versement anticipé et paiement en espèces du capital-vieillesse accumulé au titre de la prévoyance professionnelle facultative. Dans l'assurance facultative, le versement anticipé ainsi que le paiement en espèces de cotisations et de montants accumulés auprès d'une institution de prévoyance sont admissibles dans des limites clairement établies, notamment aux fins d'investissements dans l'entreprise, contrairement à la lettre de l'art. 4 al. 4 LPP mais conformément à une interprétation historique et systématique de cette disposition (consid. 4).</w:t>
      </w:r>
    </w:p>
    <w:p>
      <w:r>
        <w:t>Regesto Art. 4 cpv. 4 LPP; prelievo anticipato e pagamento in contanti dell'avere di vecchiaia accumulato nella previdenza professionale facoltativa. Come risulta da un'interpretazione del disposto alla luce dei lavori preparatori e della sistematica della legge, contrariamente al tenore letterale dell'art. 4 cpv. 4 LPP, nell'ambito dell'assicurazione facoltativa il prelievo anticipato e il pagamento in contanti di contributi e di conferimenti all'istituto di previdenza sono ammissibili entro determinati limiti ben definiti, segnatamente per investimenti aziendali (consid. 4).</w:t>
      </w:r>
    </w:p>
    <w:p>
      <w:pPr>
        <w:pStyle w:val="Heading2"/>
      </w:pPr>
      <w:r>
        <w:t>Erwägungen</w:t>
      </w:r>
    </w:p>
    <w:p>
      <w:r>
        <w:rPr>
          <w:b/>
        </w:rPr>
        <w:t>E. 3.1</w:t>
      </w:r>
    </w:p>
    <w:p>
      <w:r>
        <w:t>Selbstständigerwerbende sind dem Obligatorium der beruflichen Vorsorge nicht von Gesetzes wegen unterstellt. Ihnen soll jedoch die Möglichkeit einer freiwilligen Unterstellung offenstehen (Art. 113 Abs. 2 lit. d der Bundesverfassung vom 18. April 1999 [BV; SR 101]). Dieser Verfassungsauftrag ist als Grundsatz in Art. 4 des Bundesgesetzes vom 25. Juni 1982 über die berufliche Alters-, Hinterlassenen- und Invalidenvorsorge (BVG; SR 831.40) übernommen und in Art. 44 und 45 BVG konkretisiert worden (HANS-ULRICH STAUFFER, Berufliche Vorsorge, Zürich 2005, S. 195 Rz. 511). Art. 4 BVG regelt die freiwillige Versicherung in der beruflichen Alters-, Hinterlassenen- und Invalidenvorsorge: Arbeitnehmer und Selbstständigerwerbende, die der obligatorischen Versicherung nicht unterstellt sind, können sich nach diesem Gesetz freiwillig versichern lassen (Abs. 1). Die Bestimmungen über die obligatorische Versicherung, insbesondere die in Art. 8 festgesetzten Einkommensgrenzen, gelten sinngemäss für die freiwillige Versicherung (Abs. 2).</w:t>
      </w:r>
    </w:p>
    <w:p>
      <w:r>
        <w:rPr>
          <w:b/>
        </w:rPr>
        <w:t>E. 3.2</w:t>
      </w:r>
    </w:p>
    <w:p>
      <w:r>
        <w:t>Am 1. Januar 2005 ist die 1. BVG-Revision gemäss Bundesgesetz vom 3. Oktober 2003 in Kraft getreten (AS 2004 S. 1700). Art. 4 Abs. 3 und 4 BVG enthält neue Regelungen für die freiwillige Versicherung der Selbstständigerwerbenden. Abs. 3 bestimmt: "Selbstständigerwerbende haben ausserdem die Möglichkeit, sich ausschliesslich bei einer Vorsorgeeinrichtung im Bereich der weitergehenden Vorsorge, insbesondere auch bei einer Vorsorgeeinrichtung, die nicht im Register für berufliche Vorsorge eingetragen ist, zu versichern. In diesem Fall finden die Absätze 1 und 2 keine Anwendung." Art. 4 Abs. 4 BVG lautet wie folgt: "Die von den Selbstständigerwerbenden geleisteten Beiträge und Einlagen in die Vorsorgeeinrichtung müssen dauernd der beruflichen Vorsorge dienen." BGE 134 V 170 S. 173 "Les cotisations et montants versés par des indépendants à une institution de prévoyance professionnelle doivent être affectés durablement à la prévoyance professionnelle." "I contributi e i conferimenti degli indipendenti all'istituto di previdenza devono essere devoluti durevolmente alla previdenza professionale."</w:t>
      </w:r>
    </w:p>
    <w:p>
      <w:r>
        <w:rPr>
          <w:b/>
        </w:rPr>
        <w:t>E. 3.3</w:t>
      </w:r>
    </w:p>
    <w:p>
      <w:r>
        <w:t>Im Rahmen der Umsetzung des Gesetzes hat das Eidg. Departement des Innern am 14. Januar 2005 einen Entwurf der Änderung der Verordnung vom 18. April 1984 über die berufliche Alters-, Hinterlassenen- und Invalidenvorsorge (BVV 2; SR 831.441.1) zum 3. Paket der 1. BVG-Revision in Vernehmlassung gegeben. Der Entwurf enthielt u.a. als neuen Art. 32a unter der Überschrift "Investitionen in den Betrieb ( Art. 4 Abs. 4 BVG )" folgende Bestimmung: "Selbstständigerwerbende, welche gemäss Art. 4 Absatz 3 BVG freiwillig versichert sind, können von ihrer Vorsorgeeinrichtung einen einmaligen Vorbezug bis zur Höhe ihrer Austrittsleistung für Investitionen in den Betrieb verlangen. Ein solcher Vorbezug kann bis 3 Jahre vor Entstehung des Anspruchs auf Altersleistungen geltend gemacht werden. Die Art. 30c Absätze 4 und 5 und 79b Absätze 3 und 4 BVG sowie Art. 5, 6, 7, 11, 13 und 14 WEFV sind sinngemäss anwendbar." Im Bericht zur Vernehmlassung wurde dazu erläutert, die Gesetzesrevision habe Art. 4 Abs. 3 BVG eingeführt, nach dem Selbstständigerwerbende eine überobligatorische Vorsorge betreiben können, ohne gleichzeitig eine Vorsorge aufzubauen, welche die Mindestbestimmungen des BVG erfülle. Als Ergänzung dazu werde in Abs. 4 jedoch festgehalten, dass die Beiträge der Selbstständigerwerbenden dauernd der beruflichen Vorsorge dienen müssen und nicht jederzeit auf Grund der selbstständigen Erwerbstätigkeit bar ausbezahlt werden können. Davon soll jedoch eine Ausnahme gemacht werden können für eine einmalige Investition in den eigenen Betrieb, da es für die Vorsorge des Selbstständigerwerbenden unter Umständen langfristig wichtig sei, den Wert seines Betriebes zu erhalten. Solche Investitionen könnten jedoch nur bis spätestens drei Jahre vor dem Entstehen des Anspruchs auf Altersleistungen gewährt werden. Eine derartige Bestimmung fand nie Eingang in die BVV 2. Aus der "Synthese der Resultate des Vernehmlassungsverfahrens" in den Mitteilungen des BSV über die berufliche Vorsorge Nr. 83 vom 16. Juni 2005 lässt sich dazu erfahren, dass die erdrückende Mehrheit der Kantone mit einzelnen Verbänden und Parteien einen solchen Artikel missbilligten, weil er im Widerspruch zu Art. 4 BGE 134 V 170 S. 174 Abs. 4 BVG stehe, wonach die geleisteten Beiträge und Einlagen dauernd der beruflichen Vorsorge dienen müssen; im Übrigen fehle eine ausdrückliche gesetzliche Grundlage. Nur ein Kanton (LU) und eine Organisation (ARGOS) stimmten der Vorlage mit weiteren Missbrauchskautelen zu. Sogar die Kommission für Soziale Sicherheit und Gesundheit des Ständerates (SGK-S) äusserte sich kritisch und warf die Frage nach weiteren Einschränkungen auf. Eine andere Minderheit der Vernehmlasser begrüsste eine solche Bestimmung, teils sogar als "absolut notwendig" (Schweizerischer Bauernverband); andere wollten eine noch weiter gehende Fassung des Inhalts.</w:t>
      </w:r>
    </w:p>
    <w:p>
      <w:r>
        <w:rPr>
          <w:b/>
        </w:rPr>
        <w:t>E. 4</w:t>
      </w:r>
    </w:p>
    <w:p>
      <w:r>
        <w:t>Streitig und zu entscheiden ist, ob der Beschwerdeführer berechtigt ist, nach Kündigung der freiwilligen beruflichen Vorsorgeversicherung die Barauszahlung seines angesparten Alterskapitals zu verlangen, oder ob dieses auf ein Freizügigkeitskonto oder eine Freizügigkeitspolice zu überweisen ist. Dies hängt von der Interpretation von Art. 4 Abs. 4 BVG ab.</w:t>
      </w:r>
    </w:p>
    <w:p>
      <w:r>
        <w:rPr>
          <w:b/>
        </w:rPr>
        <w:t>E. 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128 I 34 E. 3b S. 40). Es können auch die Gesetzesmaterialien beigezogen werden, wenn sie auf die streitige Frage eine klare Antwort geben und dem Richter damit weiterhelfen ( BGE 132 III 707 E. 2 S. 710).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BGE 134 V 170 S. 175 Äusserungen, die unwidersprochen geblieben sind. Als verbindlich für den Richter und die Richterin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130 V 472 E. 6.5.1 S. 475; BGE 126 V 103 E. 3b S. 107, BGE 126 V 435 E. 3b S. 439; BGE 124 II 193 E. 5c S. 200; BGE 124 III 126 E. 1b/aa S. 129; BGE 124 V 185 E. 3a S. 189, je mit Hinweisen).</w:t>
      </w:r>
    </w:p>
    <w:p>
      <w:r>
        <w:rPr>
          <w:b/>
        </w:rPr>
        <w:t>E. 4.2</w:t>
      </w:r>
    </w:p>
    <w:p>
      <w:r>
        <w:t>Wie das kantonale Gericht zunächst festhält, ist Abs. 4 von Art. 4 BVG im Nationalrat auf Grund eines Antrages von Nationalrat Bortoluzzi im Namen der Kommission für soziale Sicherheit und Gesundheit (SGK-N) ohne weitere Beratung in das Gesetz aufgenommen worden. Das Votum lautet: "Zu Absatz 4: Hier geht es um die Zweckgebundenheit der Vorsorgemittel bei der freiwilligen Versicherung. Es ist ja so, dass die Selbstständigerwerbenden jederzeit aus ihrer Vorsorgeeinrichtung austreten und die bedingungslose Barauszahlung der Freizügigkeitsleistung verlangen können. Das wird aufgrund eines Entscheides des Eidgenössischen Versicherungsgerichtes so gehandhabt. In einem solchen Fall wird die Kapitalauszahlung oft dem Konsum zugeführt, einem Konsum, der mit der Vorsorge, also mit dem Grundsatz der beruflichen Vorsorge, nichts zu tun hat. Das sind offensichtliche Missbräuche. Das mag für diejenigen, die nur darauf aus sind, solche Lücken zu nutzen, interessant sein. Aber es geht nicht an, dass der Gesetzgeber solchen Missbräuchen Vorschub leistet. Solche Alibiaustritte mit Barauszahlungen werden allein aus Gründen der Steuereinsparung gemacht. Das geht nicht an. Eine dauernde und ausschliessliche Zweckgebundenheit der in der Vorsorgeeinrichtung geleisteten Mittel ist bei einem Austritt aus der Vorsorgeeinrichtung nicht mehr gegeben. BGE 134 V 170 S. 176 Damit solche Transaktionen vermieden werden können, beantragt Ihnen die Kommission die Aufnahme dieses neuen Absatzes 4. Es geht allerdings auch nicht darum, es den Selbstständigerwerbenden zu verunmöglichen, Wohneigentumseinlagen oder betriebsbezogene werterhaltende Investitionen zu tätigen. Das möchte ich hier deutlich sagen; ich bin ja auch ein Selbstständigerwerbender, nicht wahr? Ich glaube, im Sinne der Vorsorge können solche Massnahmen auch mit diesem neuen Artikel getroffen werden. Aber es geht wirklich darum, Missbräuche, die hier offensichtlich stattfinden, zu verhindern." (AB 2003 N 624) Nach Ansicht der Vorinstanz ist der Wortlaut von Art. 4 Abs. 4 BVG klar; auch die von Selbstständigerwerbenden geleisteten Beiträge und Einlagen in Vorsorgeeinrichtungen müssten dauernd im System der beruflichen Vorsorge bleiben; es sei unbestritten, dass die Mittel der beruflichen Vorsorge zweckgebunden sind. Dem diene nicht zuletzt das Freizügigkeitsgesetz, das auch das Ziel verfolge, den erworbenen Vorsorgeschutz zu erhalten: Austrittsleistungen seien an die neue Vorsorgeeinrichtung zu überweisen (Art. 3 des Bundesgesetzes vom 17. Dezember 1993 über die Freizügigkeit in der beruflichen Alters-, Hinterlassenen- und Invalidenvorsorge [Freizügigkeitsgesetz, FZG; SR 831.42]). Wenn keine solche Einrichtung bestehe, sei der Vorsorgeschutz in einer Form zu erhalten, welche die Mittel ausschliesslich und unwiderruflich der Vorsorge widmet ( Art. 4 Abs. 1 FZG in Verbindung mit Art. 10 der Verordnung vom 3. Oktober 1994 über die Freizügigkeit in der beruflichen Alters-, Hinterlassenen- und Invalidenvorsorge [Freizügigkeitsverordnung, FZV; SR 831.425]). Gebe der Versicherte keine Instruktionen, werde das Geld der Auffangeinrichtung überwiesen ( Art. 4 Abs. 2 FZG ). In Sonderfällen wie der Wohneigentumsförderung oder der Teilung der Austrittsleistungen infolge Scheidung seien Vorschriften zur Sicherung des Vorsorgezweckes erlassen worden ( Art. 30e BVG und Art. 22 Abs. 1 FZG ). Die einzige Ausnahme, bei welcher die Mittel der Vorsorge "bar" ausbezahlt werden, sei in Art. 5 Abs. 1 FZG sehr restriktiv geregelt. Zusammenfassend gelte, dass diejenigen Mittel, die der beruflichen Vorsorge zugingen, grundsätzlich dem System erhalten bleiben. Anders wäre auch die steuerrechtliche Förderung der Beitrags- und Einlagenzahlungen (vgl. Verordnung vom 13. November 1985 über die steuerliche Abzugsberechtigung für Beiträge an anerkannte Vorsorgeformen [BVV 3; SR 831.461.3]) nicht zu rechtfertigen. Mit dem neuen Abs. 4 von Art. 4 BVG habe man das durch die Rechtsprechung ermöglichte Schlupfloch bei den BGE 134 V 170 S. 177 Selbstständigerwerbenden stopfen wollen, da es nicht angehen konnte, dass steuerlich privilegierte Beiträge und Einlagen in der beruflichen Vorsorge dieser jederzeit beliebig wieder entzogen werden konnten; durch diesen Missbrauch sei eine dauernde und ausschliessliche Zweckgebundenheit der der Vorsorgeeinrichtung zugeflossenen Mittel nicht mehr gegeben. Der klare Wortlaut von Art. 4 Abs. 4 BVG gebe somit auch den Sinn der Bestimmung wieder, wonach auch von Selbstständigerwerbenden geleistete Beiträge und Einlagen in die berufliche Vorsorge dieser, ausser in den gesetzlich vorgesehenen Fällen, nicht entzogen werden dürfen. Die Vorsorgeeinrichtung habe daher zu Recht die vom Kläger beantragte Barauszahlung verweigert.</w:t>
      </w:r>
    </w:p>
    <w:p>
      <w:r>
        <w:rPr>
          <w:b/>
        </w:rPr>
        <w:t>E. 4.3</w:t>
      </w:r>
    </w:p>
    <w:p>
      <w:r>
        <w:t>Unter der Herrschaft des vor der 1. BVG-Revision geltenden Rechts hatte das Eidg. Versicherungsgericht in BGE 117 V 160 zum Anspruch auf Barauszahlung nach aArt. 30 Abs. 2 lit. b BVG (heute Art. 5 Abs. 1 lit. b FZG ) erkannt, dass die gesetzlichen und reglementarischen Bestimmungen über die Barauszahlung einer Freizügigkeitsleistung an einen Arbeitnehmer, der eine selbstständige Erwerbstätigkeit aufnimmt, nicht anwendbar sind, wenn ein (nach Art. 4 Abs. 1 BVG ) freiwillig versicherter Selbstständigerwerbender die Vorsorgeeinrichtung verlässt und die Barauszahlung dieser Leistung verlangt. Es bestehe keine gesetzliche Einschränkung des Rechts eines freiwillig versicherten Selbstständigerwerbenden, die Barauszahlung seiner Freizügigkeitsleistung zu verlangen, wenn er die Versicherung bei einer Vorsorgeeinrichtung beende. STAUFFER (a.a.O., S. 198 Rz. 518) vertritt zu Art. 4 Abs. 4 BVG die Auffassung, für alle von Selbstständigen geleisteten Beiträge und Einlagen in Vorsorgeeinrichtungen gelte seit der 1. BVG-Revision, dass diese dauernd der beruflichen Vorsorge dienen müssen. Diese erst im Differenzbereinigungsverfahren vom Nationalrat aufgenommene Bestimmung solle verhindern, dass durch einen Austritt aus der Vorsorgeeinrichtung zweckgebundene Vorsorgemittel abgezogen werden können, was als Missbrauch erachtet werde. Die Möglichkeit, Vorsorgemittel unter Berufung darauf, als Selbstständigerwerbender nicht dem Obligatorium zu unterstehen, jederzeit bar zu beziehen, bestehe nicht mehr weiter. Mittel, die ein Selbstständigerwerbender in eine Vorsorgeeinrichtung eingebracht hat, könnten nicht mehr vor Erreichen eines Leistungsfalls oder nur bei Aufgabe der selbstständigen Erwerbstätigkeit infolge BGE 134 V 170 S. 178 Ausscheidens aus dem Erwerbsleben (analog Art. 5 Abs. 1 lit. b FZG ) bezogen werden. In der Tat unterbreitete die Eidg. Steuerverwaltung der SGK-N an der Sitzung vom 2. Mai 2003 einen Bericht zur freiwilligen Versicherung ( Art. 4 BVG ), namentlich zur Zweckgebundenheit der Vorsorgemittel. Um Alibi-Austritte mit Barauszahlungen allein im Hinblick auf Steuereinsparungen zu vermeiden und solche Zweckentfremdungen zu unterbinden, wurde folgender neuer Art. 4 Abs. 4 BVG vorgeschlagen: "Die von den Selbstständigerwerbenden geleisteten Beiträge und Einlagen in die Vorsorgeeinrichtung müssen dauernd und ausschliesslich der beruflichen Vorsorge dienen." Die Kommission war sich einig, dass auch Selbstständigerwerbende Mittel für Wohneigentum und Investitionen im Betrieb aus der beruflichen Vorsorge nutzen können. Der Missbrauch durch zweckwidrige Verwendung für Konsumgüter usw. sollte bekämpft werden. In der SGK-N wurde darauf hingewiesen, dass man sich in der Sache einig sei. Wichtig sei, dass der Präsident im Nationalrat im Namen der Kommission ein klärendes Wort spricht. Ein Gesetz basiere auf den begleitenden Materialien, in welche auch die Voten im Ratsplenum Eingang finden. Der Präsident werde genau erläutern können, was gemeint ist und was nicht. Es könne nicht der Sinn sein, dass einem Bauern und einem Gewerbetreibenden plötzlich Einschränkungen, welche die Kommission gar nicht will, auferlegt würden. Dies lasse sich mit einer sauberen Erklärung, die zu Protokoll geht, auffangen, ohne dass noch an vielen Gesetzen "herumgebastelt" werden müsse. Des Weitern wurde aus den Reihen der Kommission noch die Streichung des Wortes "ausschliesslich" im Entwurf beantragt, weil die Bauern und Gewerbetreibenden befürchteten, dass man jede Form des Einsatzes solcher Mittel unterbinden würde. Gleichzeitig sollte der Missbrauch aber verhindert werden. Die SGK-N nahm den Antrag auf Streichung des Wortes "ausschliesslich" an.</w:t>
      </w:r>
    </w:p>
    <w:p>
      <w:r>
        <w:rPr>
          <w:b/>
        </w:rPr>
        <w:t>E. 4.4</w:t>
      </w:r>
    </w:p>
    <w:p>
      <w:r>
        <w:t>Die SGK-N war sich bewusst, dass der Wortlaut von Art. 4 Abs. 4 BVG Ausnahmen für Investitionen nicht entgegenstehen sollte. Der Nationalrat stimmte Art. 4 Abs. 4 BVG in der vorgeschlagenen Fassung gemäss dem von der Kommission verlangten Votum des Kommissionspräsidenten im Plenum ohne Widerspruch zu. Auch die SGK-S pflichtete bei, der Ständerat selbst nahm diese Bestimmung ebenfalls an. Diese Umstände sind für die Ermittlung BGE 134 V 170 S. 179 der gesetzgeberischen Regelungsabsicht relevant. Aus der Entstehungsgeschichte ergibt sich der eindeutige Wille des Gesetzgebers, die sonst gesetzlich (BVG; FZG) sehr streng normierte Zweckbindung von Mitteln der beruflichen Vorsorge bei der freiwilligen beruflichen Vorsorge von Selbstständigerwerbenden zu lockern, indem die Entnahme für betriebliche Investitionen ausgenommen ist. Dies kommt zwar im Wortlaut von Art. 4 Abs. 4 BVG nicht explizit zum Ausdruck. Der Gesetzgeber hat die Entnahme von Beiträgen und Einlagen aus der Vorsorgeeinrichtung für betriebliche Investitionen jedoch nicht als Zweckentfremdung von Vorsorgemitteln qualifiziert und in diesem Sinne für betriebliche Investitionen einen Sonderfall geschaffen. Diese normative Ausrichtung von Art. 4 Abs. 4 BVG ist zu beachten. Dass einem Votum des Kommissionspräsidenten vor den Räten auf Grund der klaren Materialienlage ausschlaggebendes Gewicht zukommt, mag selten sein; dies ändert aber nichts an der hier gebotenen Auslegung und Anwendung des Gesetzes. Diese Interpretation wird übrigens durch die Tatsache gestützt, dass das im Entwurf des neuen Abs. 4 enthaltene Wort "ausschliesslich" im Rahmen des Gesetzgebungsprozesses bewusst gestrichen wurde, was den Weg für einen anderen Verwendungszweck, wie betriebliche Investitionen, geebnet hat, der kein wirkliches Missbrauchspotential aufweist. Dass dies der Wille des Gesetzgebers ist, ergibt sich zwar aus keiner sprachlichen Version des Wortlautes von Art. 4 Abs. 4 BVG , jedoch klar aus dem Werdegang der Gesetzgebung. In die gleiche Richtung deutet, dass sich das BSV entsprechend dem Gang des Gesetzgebungsprozesses anschickte, eine Verordnungsbestimmung zu entwerfen, die mit dem Votum des Kommissionspräsidenten in Einklang steht. Der Umstand, dass sich der Bundesrat ans Werk machte, die Norm des Art. 4 Abs. 4 BVG mit dem erwähnten neuen Art. 32a BVV 2 zu konkretisieren, der den Vorbezug der Austrittsleistung für Investitionen geregelt hätte, belegt eindrücklich, dass er selber mit der Verwaltung eine gesetzliche Grundlage für diese Lösung erblickte und spricht ebenfalls für eine vom kantonalen Gericht abweichende Interpretation von Art. 4 Abs. 4 BVG . Von einem Versehen beim Votum des Kommissionspräsidenten kann entgegen der Auffassung der Vorinstanz keine Rede sein, hat doch die SGK-N ganz bewusst im Hinblick auf die Materialien und eine Protokollerklärung ihres Präsidenten darauf verzichtet, noch weiter an vielen Gesetzen "herumzubasteln", wie sich ein BGE 134 V 170 S. 180 Kommissionsmitglied anschaulich äusserte. Wenn das Departement auf Grund der Reaktion der Kantone im Vernehmlassungsverfahren davon Abstand genommen hat, das so beschlossene Gesetz in eine entsprechende Verordnungsbestimmung umzusetzen, vermag dies die Gesetz gewordene Bestimmung von Art. 4 Abs. 4 BVG , welcher beide Räte diskussionslos zugestimmt haben, nach den für diese massgebenden normativen Zwecken nicht aus den Angeln zu heben. Den Art. 4 Abs. 4 BVG zugrunde liegenden Willen des Gesetzgebers gilt es bei einer neuen Gesetzesrevision zu respektieren, auch wenn er im Text des Erlasses nur einen verhältnismässig schwachen Niederschlag gefunden hat. Im Übrigen scheint der Wortlaut von Art. 4 Abs. 4 BVG nur auf den ersten Blick einer Auslegung im Sinne der vorstehenden Erwägungen nicht zugänglich zu sein. Der Wortlaut stellt indessen nicht schon die Norm dar, sondern erst das an Sachverhalten verstandene und konkretisierte Gesetz, das eine sachlich richtige Entscheidung im normativen Gefüge, ausgerichtet auf ein befriedigendes Ergebnis der ratio legis, fordert ( BGE 133 III 175 E. 3.3.1 S. 178). Der Regelungsabsicht des Gesetzgebers beim Erlass von Art. 4 Abs. 4 BVG , die berufliche Vorsorge eines selbstständigerwerbenden, freiwillig Versicherten dauernd abzusichern, steht nicht entgegen, in klar bestimmten Schranken, z.B. für Betriebsinvestitionen, den Vorbezug und die Barauszahlung von Beiträgen sowie Einlagen in die Vorsorgeeinrichtung zuzulassen. Die Bestimmung ist interpretationsbedürftig und nicht so absolut gewollt, wie sie geschriebenes Gesetz geworden ist. Vorbezüge oder Barauszahlungen sind in einem beschränkten Rahmen zugelassen, wenn sie dem Kerngehalt von Art. 4 Abs. 4 BVG nicht völlig widersprechen. Dies kam auch an einer Sitzung der SGK-N vom 30./31. Januar 2002 zum Ausdruck.</w:t>
      </w:r>
    </w:p>
    <w:p>
      <w:r>
        <w:rPr>
          <w:b/>
        </w:rPr>
        <w:t>E. 4.5</w:t>
      </w:r>
    </w:p>
    <w:p>
      <w:r>
        <w:t>Zum gleichen Ergebnis führt die Gesetzessystematik. Nach Art. 5 Abs. 1 lit. b FZG können Versicherte die Barauszahlung der Austrittsleistung verlangen, wenn sie eine selbstständige Erwerbstätigkeit aufnehmen und der obligatorischen beruflichen Vorsorge nicht mehr unterstehen. Kann sich somit der Selbstständigerwerbende sogar das unfreiwillig als Unselbstständiger geäufnete Freizügigkeitsguthaben bar auszahlen lassen, müsste es als systemwidrig und widersprüchlich bezeichnet werden, wenn er zu vergleichbaren Zwecken sich das freiwillig einbezahlte Guthaben nicht auszahlen lassen könnte. BGE 134 V 170 S. 181</w:t>
      </w:r>
    </w:p>
    <w:p>
      <w:r>
        <w:rPr>
          <w:b/>
        </w:rPr>
        <w:t>E. 4.6</w:t>
      </w:r>
    </w:p>
    <w:p>
      <w:r>
        <w:t>Zudem widerspräche ein Barauszahlungsverbot in Fällen wie dem vorliegenden der verfassungsrechtlich gewährleisteten Freiwilligkeit der beruflichen Vorsorge für Selbstständigerwerbende ( Art. 113 Abs. 2 lit. d BV ). Auch im Lichte verfassungskonformer Auslegung (vgl. BGE 131 V 263 E. 5 S. 266 f. mit Hinweisen) drängt es sich somit auf, die Barauszahlung der von Selbstständigerwerbenden geäufneten Mittel zum Zwecke betrieblicher Investitionen zuzulassen.</w:t>
      </w:r>
    </w:p>
    <w:p>
      <w:r>
        <w:rPr>
          <w:b/>
        </w:rPr>
        <w:t>E. 4.7</w:t>
      </w:r>
    </w:p>
    <w:p>
      <w:r>
        <w:t>Der in Ausführung von Art. 4 Abs. 4 BVG im Vernehmlassungsverfahren unterbreitete Entwurf von Art. 32a BVV 2 mit dem Titel "Investitionen in den Betrieb ( Art. 4 Abs. 4 BVG )" entspricht Sinn und Zweck des Gesetzes. Mangels einer Ausführungsbestimmung erscheint es gerechtfertigt, die vorliegende Streitsache sinngemäss nach den dortigen Kriterien zu beurteilen. Steht ein Vorbezug zufolge Austritts aus der Vorsorgeeinrichtung nicht mehr zur Diskussion, kann die Gesamtheit der Austrittsleistungen für Betriebsinvestitionen zur Barauszahlung gefordert werden.</w:t>
      </w:r>
    </w:p>
    <w:p>
      <w:r>
        <w:rPr>
          <w:b/>
        </w:rPr>
        <w:t>E. 5</w:t>
      </w:r>
    </w:p>
    <w:p>
      <w:r>
        <w:t>Im hier zu entscheidenden Fall liegt es auf der Hand, dass die Erneuerung der veralteten Raufutteranlage eine klassische betriebliche Investition darstellt. Diese dient der Erhaltung des Betriebes und letztlich auch der Existenzsicherung im Sinne der beruflichen Vorsorge. Soweit daher Mittel zu diesem Zweck aus der Vorsorgeeinrichtung bezogen werden, ist dies zulässig, nachdem eine Missbrauchskomponente auszuschliessen ist. Die Voraussetzungen für die Barauszahlung sind daher ohne weiteres erfüllt. Gleiches gilt, soweit Mittel aus der Vorsorgeeinrichtung für die Auszahlung des Geschäftspartners beansprucht werden, geht es doch dabei um Investitionen in das Inventar. Der Einsatz dieser Mittel dient letztlich ebenfalls der Betriebserhaltung und Existenzsicherung, womit er auf der Ebene der beruflichen Vorsorge im weitesten Sinne anzusiedeln ist. Nachdem die Vorsorgestiftung auch diesbezüglich keine Missbrauchsargumente eingebracht hat und solche nicht ersichtlich sind, können die Voraussetzungen für die Barauszahlung für diese Zwecksetzung, die mit der betrieblichen Investition im engeren Sinn zusammenhängt, als erfüllt betrachtet werden. Die Vorsorgestiftung der schweizerischen Landwirtschaft ist daher zu verpflichten, dem Beschwerdeführer die Austrittsleistung im Betrag von Fr. 321'573.- bar auszubezahlen.</w:t>
      </w:r>
    </w:p>
    <w:p>
      <w:r>
        <w:rPr>
          <w:b/>
        </w:rPr>
        <w:t>E. 6</w:t>
      </w:r>
    </w:p>
    <w:p>
      <w:r>
        <w:t>(Zinspunkt)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