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83</w:t>
      </w:r>
    </w:p>
    <w:p>
      <w:r>
        <w:rPr>
          <w:i/>
        </w:rPr>
        <w:t>Bundesgericht (BGE)</w:t>
      </w:r>
      <w:r>
        <w:rPr>
          <w:i/>
        </w:rPr>
        <w:t xml:space="preserve">  ·  2007-11-20</w:t>
      </w:r>
      <w:r>
        <w:rPr>
          <w:i/>
        </w:rPr>
        <w:t xml:space="preserve">  ·  DE</w:t>
      </w:r>
    </w:p>
    <w:p>
      <w:r>
        <w:rPr>
          <w:b/>
        </w:rPr>
        <w:t xml:space="preserve">Source: </w:t>
      </w:r>
      <w:r>
        <w:t>https://mcp.opencaselaw.ch/entscheid/bge_BGE_134_I_83</w:t>
      </w:r>
    </w:p>
    <w:p>
      <w:r>
        <w:t>FR: ATF 134 I 83 · IT: DTF 134 I 83</w:t>
      </w:r>
    </w:p>
    <w:p>
      <w:pPr>
        <w:pStyle w:val="Heading2"/>
      </w:pPr>
      <w:r>
        <w:t>Regeste</w:t>
      </w:r>
    </w:p>
    <w:p>
      <w:r>
        <w:t>Regeste a Entscheid über vorsorgliche Massnahmen. Qualifikation eines Entscheids über vorsorgliche Massnahmen als End- oder Zwischenentscheid im Sinne von Art. 90 bzw. 93 BGG. Bejahung der Eignung, einen nicht wieder gutzumachenden Nachteil gemäss Art. 93 Abs. 1 lit. a BGG zu bewirken (E. 3.1). Nach Art. 98 BGG zulässige Rügen und Rügeprinzip (E. 3.2).</w:t>
      </w:r>
    </w:p>
    <w:p>
      <w:r>
        <w:t>Regeste b Art. 29 Abs. 2 BV; Begründungsanforderungen an einen immaterialgüterrechtlichen Massnahmenentscheid wegen glaubhaft gemachter Verwechslungsgefahr. Die verfassungsrechtlichen Minimalanforderungen an die Begründung von Entscheiden gelten auch für die Anordnung von vorsorglichen Massnahmen. Ungenügen der Begründung einer Verbotsverfügung, aus der nicht hervorgeht, welcher konkrete immaterialgüterrechtliche Schutzanspruch des Massnahmegesuchstellers nach welchen Gesetzesbestimmungen, namentlich des MSchG oder des UWG, glaublich beeinträchtigt sein soll (E. 4).</w:t>
      </w:r>
    </w:p>
    <w:p>
      <w:r>
        <w:t>Regeste a Décision portant sur des mesures provisionnelles. Qualification d'une décision de mesures provisionnelles comme décision finale ou décision incidente, au sens de l'art. 90, respectivement, 93 LTF. Une décision de mesures provisionnelles peut causer un préjudice irréparable selon l'art. 93 al. 1 let. a LTF (consid. 3.1). Griefs recevables d'après l'art. 98 LTF et principe d'allégation (consid. 3.2).</w:t>
      </w:r>
    </w:p>
    <w:p>
      <w:r>
        <w:t>Regeste b Art. 29 al. 2 Cst.; exigences de motivation d'une décision de mesures provisionnelles en matière de droit de la propriété intellectuelle reposant sur la vraisemblance d'un risque de confusion. Les exigences minimales de motivation déduites de la norme constitutionnelle valent également pour les décisions de mesures provisionnelles. Insuffisance de motivation d'une décision d'interdiction, qui n'indique pas quel droit de protection concret, dont peut se prévaloir le requérant en matière de propriété intellectuelle, a été lésé sous l'angle de la vraisemblance et d'après quelle disposition légale, notamment de la loi sur la protection des marques et des indications de provenance (LPM) ou de la loi contre la concurrence déloyale (LCD; consid. 4).</w:t>
      </w:r>
    </w:p>
    <w:p>
      <w:r>
        <w:t>Regesto a Decisione in materia di misure cautelari. Qualificazione di una decisione in materia di misure cautelari quale decisione finale o incidentale ai sensi dell'art. 90 rispettivamente dell'art. 93 LTF. Una decisione incidentale in materia di misure cautelari può causare un pregiudizio irreparabile giusta l'art. 93 cpv. 1 lett. a LTF (consid. 3.1). Censure proponibili sotto il profilo dell'art. 98 LTF e principio dell'allegazione (consid. 3.2).</w:t>
      </w:r>
    </w:p>
    <w:p>
      <w:r>
        <w:t>Regesto b Art. 29 cpv. 2 Cost.; esigenze di motivazione poste a una decisione con cui vengono ordinate misure cautelari in materia di diritto dei beni immateriali, a causa di un rischio di confusione reso verosimile. Le esigenze minime di motivazione imposte dal diritto costituzionale valgono anche per le decisioni con cui vengono adottate misure cautelari. Insufficiente motivazione di un divieto, che non indica quali norme del diritto dei beni immateriali, vale a dire la legge federale sulla protezione dei marchi (LPM) oppure la legge federale sulla concorrenza sleale (LCSl), disciplinano il titolo di protezione dell'istante, che sarebbe verosimilmente pregiudicato (consid. 4).</w:t>
      </w:r>
    </w:p>
    <w:p>
      <w:pPr>
        <w:pStyle w:val="Heading2"/>
      </w:pPr>
      <w:r>
        <w:t>Erwägungen</w:t>
      </w:r>
    </w:p>
    <w:p>
      <w:r>
        <w:rPr>
          <w:b/>
        </w:rPr>
        <w:t>E. 3.1</w:t>
      </w:r>
    </w:p>
    <w:p>
      <w:r>
        <w:t>Die Beschwerde in Zivilsachen ist grundsätzlich nur gegen Endentscheide im Sinne von Art. 90 BGG zulässig, d.h. gegen Entscheide, die das Verfahren abschliessen. Das Bundesgericht soll sich als oberste rechtsprechende Behörde des Bundes in der Regel nur ein Mal mit der gleichen Angelegenheit befassen müssen. Anders als nach der Praxis zur (altrechtlichen) Berufung ( Art. 48 Abs. 1 OG ), wonach ein Endentscheid nur dann vorlag, wenn das kantonale Sachgericht über den im Streit stehenden Anspruch materiell entschieden oder dessen Beurteilung aus einem Grund abgelehnt hatte, der endgültig verbot, dass der gleiche Anspruch nochmals geltend gemacht wird ( BGE 132 III 178 E. 1.1 S. 180 mit Hinweisen; vgl. auch BGE 133 III 393 E. 4), genügt für die neurechtliche Beschwerde allgemein der rein formelle Abschluss eines Verfahrens (Urteil 5A_9/2007 vom 20. April 2007, E. 1.2.2; vgl. Botschaft vom 28. Februar 2001 zur Totalrevision der Bundesrechtspflege, BBl 2001 S. 4331 Ziff. 4.1.4.1; Spühler/Dolge/Vock, Kurzkommentar zum BGG, Zürich/St. Gallen 2006, N. 3 zu Art. 90 BGG ; Bernard Corboz, Le recours en matière civile selon le projet de loi sur le Tribunal fédéral, Schweizerische Zeitschrift für Zivilprozessrecht [SZZP] 2005 S. 79 ff., 82; Denis Tappy, Le recours en matière civile, in: Wurzburger et al., La nouvelle loi sur le Tribunal fédéral, Lausanne 2007, S. 76; Peter Karlen, Das neue Bundesgerichtsgesetz, Die wesentlichen Neuerungen und was sie bedeuten, Basel 2006, S. 35; FABIENNE HOHL, Le recours en matière civile selon la Loi sur le Tribunal fédéral du 17 juin 2005, in: Foëx/Hottelier/ Jeandin [Hrsg.], Les recours au Tribunal fédéral, Genève 2007, S. 86). Entscheide über vorsorgliche Massnahmen sind nur dann Endentscheide, wenn sie in einem eigenständigen Verfahren ergehen. Selbständig eröffnete Massnahmenentscheide, die vor oder während eines Hauptverfahrens erlassen werden und nur für die Dauer des Hauptverfahrens bzw. unter der Bedingung, dass ein BGE 134 I 83 S. 87 Hauptverfahren eingeleitet wird, Bestand haben, stellen dagegen Zwischenentscheide im Sinne von Art. 93 BGG dar (vgl. Botschaft, a.a.O., S. 4332 f.; von Werdt, in: Seiler/von Werdt/Güngerich, Bundesgerichtsgesetz, Stämpflis Handkommentar, Bern 2007, N. 6 zu Art. 90 BGG ; Tappy, a.a.O., S. 76 f.; Bernard Corboz, Introduction à la nouvelle loi sur le Tribunal fédéral, in: Bundesrechtsmittel, Schriftenreihe SAV, Bd. 20, Bern 2007, S. 4 ff., 9; Hans Peter Walter, Neue Zivilrechtspflege, in: Tschannen [Hrsg.], Neue Bundesrechtspflege, Berner Tage für die juristische Praxis [BTJP] 2006, Bern 2007, S. 131; Christoph Auer, Der Rechtsweg in Zivilsachen, in: Ehrenzeller/Schwander [Hrsg.], Reorganisation der Bundesrechtspflege - Neuerungen und Auswirkungen in der Praxis, St. Gallen 2006, S. 72 f. und S. 74 Fn. 31; Tarkan Göksu, Die Beschwerden ans Bundesgericht, St. Gallen 2007, Rz. 80; vgl. auch Spühler/Dolge/Vock, a.a.O., N. 4 zu Art. 90 BGG ; ISAAK MEIER, Rechtsmittel an das Bundesgericht in Zivilsachen nach dem BGG, in: Meier et al. [Hrsg.], Wege zum Bundesgericht in Zivilsachen nach dem Bundesgerichtsgesetz, Zürich/St. Gallen 2007, S. 26 f.). Gegen solche ist die Beschwerde nur zulässig, wenn sie einen nicht wieder gutzumachenden Nachteil bewirken können ( Art. 93 Abs. 1 lit. a BGG [Die Variante nach Art. 93 Abs. 1 lit. b BGG fällt bei Massnahmenentscheiden von vornherein ausser Betracht]). Dabei muss es sich - entsprechend dem Begriff des Nachteils im Sinne von Art. 87 OG - um einen Nachteil rechtlicher Natur handeln, der auch durch einen für den Beschwerdeführer günstigen Entscheid in der Zukunft nicht mehr behoben werden kann ( BGE 133 IV 139 E. 4; BGE 133 V 477 E. 5.2.1; Urteil 4A_85/2007 vom 11. Juni 2007, E. 3.1). Gegenstand der angefochtenen Entscheide sind während des Hauptverfahrens erlassene vorsorgliche Massnahmen. Demnach handelt es sich bei diesen Entscheiden um Zwischenentscheide nach Art. 93 BGG . Es liegt auf der Hand und wurde auch in konstanter Praxis zur staatsrechtlichen Beschwerde bejaht, dass ein solcher Entscheid einen nicht wieder gutzumachenden Nachteil im Sinne von Art. 87 OG bewirken kann und daher vor Bundesgericht anfechtbar ist (vgl. BGE 116 Ia 446 ff.; BGE 114 II 368 E. 2a S. 369; BGE 108 II 69 E. 1 S. 71, je mit Hinweisen). Die Beschwerde in Zivilsachen steht somit gegen die angefochtenen Entscheide grundsätzlich offen. Damit erweist sich die vorsorglich erhobene subsidiäre Verfassungsbeschwerde als unzulässig ( Art. 113 BGG ) und es ist darauf nicht einzutreten. BGE 134 I 83 S. 88</w:t>
      </w:r>
    </w:p>
    <w:p>
      <w:r>
        <w:rPr>
          <w:b/>
        </w:rPr>
        <w:t>E. 3.2</w:t>
      </w:r>
    </w:p>
    <w:p>
      <w:r>
        <w:t>Da mit der vorliegenden Beschwerde Entscheide angefochten werden, die eine vorsorgliche Massnahme zum Gegenstand haben, kann einzig die Verletzung verfassungsmässiger Rechte gerügt werden ( Art. 98 BGG ). Die Verletzung von Grundrechten prüft das Bundesgericht nur insofern, als eine solche Rüge in der Beschwerde vorgebracht und begründet worden ist ( Art. 106 Abs. 2 BGG ). Das bedeutet, dass - entsprechend den altrechtlichen Begründungsanforderungen von Art. 90 Abs. 1 lit. b OG - klar und detailliert anhand der Erwägungen des angefochtenen Entscheids darzulegen ist, inwiefern verfassungsmässige Rechte verletzt worden sein sollen ( BGE 133 III 393 E. 6, BGE 133 III 439 E. 3.2; BGE 133 II 249 E. 1.4.2; vgl. zu Art. 90 OG : BGE 130 I 258 E. 1.3 S. 261 f. mit Hinweisen).</w:t>
      </w:r>
    </w:p>
    <w:p>
      <w:r>
        <w:rPr>
          <w:b/>
        </w:rPr>
        <w:t>E. 4</w:t>
      </w:r>
    </w:p>
    <w:p>
      <w:r>
        <w:t>Die Beschwerdeführerin rügt, die Verfügung der Zivilgerichtspräsidentin vom 16./17. August 2006 genüge den verfassungsrechtlichen Anforderungen an die Entscheidbegründung nicht. Das Appellationsgericht habe eine entsprechende Gehörsverletzung zu Unrecht verneint.</w:t>
      </w:r>
    </w:p>
    <w:p>
      <w:r>
        <w:rPr>
          <w:b/>
        </w:rPr>
        <w:t>E. 4.1</w:t>
      </w:r>
    </w:p>
    <w:p>
      <w:r>
        <w:t>Das rechtliche Gehör nach Art. 29 Abs. 2 BV verlangt, dass die Behörde die Vorbringen des vom Entscheid in seiner Rechtsstellung Betroffenen auch tatsächlich hört, prüft und in der Entscheidfindung berücksichtigt ( BGE 124 I 49 E. 3a, BGE 124 I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133 III 439 E. 3.3; BGE 130 II 530 E. 4.3 S. 540; BGE 129 I 232 E. 3.2; BGE 126 I 97 E. 2b, je mit Hinweisen). Diese verfassungsrechtlichen Minimalanforderungen an die Begründung gelten auch für die Anordnung von vorsorglichen Massnahmen. Daran ändert nichts, dass diese regelmässig aufgrund einer summarischen Beurteilung der Anspruchsgrundlage erfolgen und ihrem Zweck nach rasch erlassen werden müssen und dass damit nicht endgültig über materielle Gebrauchsrechte oder BGE 134 I 83 S. 89 Unterlassungsansprüche der Parteien entschieden wird (vgl. Guldener, Zivilprozessrecht, 3. Aufl., Zürich 1979, S. 581; STAEHELIN/SUTTER, Zivilprozessrecht, Zürich 1992, § 23 Rz. 22).</w:t>
      </w:r>
    </w:p>
    <w:p>
      <w:r>
        <w:rPr>
          <w:b/>
        </w:rPr>
        <w:t>E. 4.2</w:t>
      </w:r>
    </w:p>
    <w:p>
      <w:r>
        <w:t>Die Beschwerdeführerin macht zunächst geltend, die Zivilgerichtspräsidentin habe ihre Pflicht zur Begründung ihrer Verfügung insoweit verletzt, als sie die Rechtsnormen, die dieser zugrunde liegen, nicht genannt habe.</w:t>
      </w:r>
    </w:p>
    <w:p>
      <w:r>
        <w:rPr>
          <w:b/>
        </w:rPr>
        <w:t>E. 4.2.1</w:t>
      </w:r>
    </w:p>
    <w:p>
      <w:r>
        <w:t>Das Appellationsgericht hielt dazu fest, die Parteien hätten Anspruch darauf, dass sie über die Rechtsnormen Kenntnis erhielten, auf die sich der Entscheid stütze. Dies brauche indessen nicht notwendigerweise ausdrücklich zu geschehen. Oftmals machten die Parteien in ihren Rechtsschriften zum Teil detaillierte Ausführungen zum Rechtlichen. Es sei nicht zu beanstanden, wenn in der Folge die entscheidende Behörde die Rechtsauffassung der einen Partei als zutreffend bezeichne und diese damit implizit zur Grundlage ihres Entscheides mache. Im vorliegenden Fall habe die Zivilgerichtspräsidentin ein solches Vorgehen gewählt. Damit habe der Beschwerdeführerin ausreichend klar sein müssen, worauf sich die Verfügung stützte. Dass sie nicht in der Lage gewesen sein will, den Entscheid sachgerecht beim Bundesgericht anzufechten, treffe offensichtlich nicht zu, wenn man sich ihre staatsrechtliche Beschwerde vor Augen führe.</w:t>
      </w:r>
    </w:p>
    <w:p>
      <w:r>
        <w:rPr>
          <w:b/>
        </w:rPr>
        <w:t>E. 4.2.2</w:t>
      </w:r>
    </w:p>
    <w:p>
      <w:r>
        <w:t>Die Beschwerdeführerin rügt namentlich, das Appellationsgericht ignoriere damit, dass die Beschwerdegegnerin in ihren Rechtsschriften mehrere unterschiedliche Anspruchsgrundlagen geltend mache. So behaupte sie insbesondere eine Verletzung von Art. 15 MSchG (SR 232.11 [berühmte Marke]), von Art. 3 Abs. 2 lit. b MSchG (notorisch bekannte Marke), von Art. 3 Abs. 1 MSchG , Art. 3 lit. b und d UWG (SR 241) und Art. 5 des Bundesgesetzes vom 9. Oktober 1992 über Lebensmittel und Gebrauchsgegenstände (Lebensmittelgesetz, LMG; SR 817.0) . Diese Rechtsgrundlagen unterschieden sich in ihren Tatbestandsvoraussetzungen wesentlich, so dass im Entscheid ausdrücklich hätte festgehalten werden müssen, welche Normen das Gericht als verletzt betrachte. Es bliebe offen und unklar, welche Normen die Zivilgerichtspräsidentin als glaubhaft verletzt erachtet habe. Dadurch werde der Beschwerdeführerin die Durchsetzung ihrer Rechtsposition durch Anfechtung der Verfügung wesentlich erschwert.</w:t>
      </w:r>
    </w:p>
    <w:p>
      <w:r>
        <w:rPr>
          <w:b/>
        </w:rPr>
        <w:t>E. 4.2.3</w:t>
      </w:r>
    </w:p>
    <w:p>
      <w:r>
        <w:t>Die Rüge ist begründet. Die Verfügung der Zivilgerichtspräsidentin vom 16./17. August 2006 enthält keinen einzigen Hinweis, BGE 134 I 83 S. 90 auf welche Gesetzesbestimmungen sich die darin ausgesprochenen Verbote stützen. Ihre zur teilweisen Gutheissung des Gesuchs um vorsorgliche Massnahmen führenden Erwägungen schloss die Zivilgerichtspräsidentin mit dem Befund, die Marke und das Erscheinungsbild der BOTOINA-Produkte liessen beim Letztabnehmer den Eindruck entstehen, dass zwischen der Marke BOTOINA und der Marke BOTOX eine Verbindung bestehe bzw. dass in den Produkten der Marke BOTOINA der "Wirkstoff Botox" enthalten sei, was unbestritten nicht der Fall sei. Damit sei aber zumindest eine mittelbare Verwechslungsgefahr gegeben. Ob eine Verwechslungsgefahr besteht, kann immer nur mit Bezug zu einem konkreten, angeblich beeinträchtigten immaterialgüterrechtlichen Anspruch des Massnahmegesuchstellers beurteilt werden, namentlich einem ihm zustehenden subjektiven Markenrecht oder einem Schutzanspruch, den ihm ein lauterkeitsrechtlich relevanter Marktauftritt verschafft. Es ist für die Nachvollziehbarkeit eines wegen Verwechslungsgefahr ausgesprochenen Verbots unabdingbar, dass in der Begründung die Anspruchsgrundlage - unter Angabe der einschlägigen Gesetzesbestimmungen - genannt wird, d.h. aus welchen Gründen der Massnahmerichter den Bestand von welchen unter mehreren angerufenen, in bestimmten Gesetzesbestimmungen gewährleisteten Schutzansprüchen und deren Verletzung als glaubhaft gemacht betrachtet hat. Nur so kann der vom Verbot Betroffene ein ausgesprochenes Verbot nachvollziehen und in einem allfälligen Rechtsmittelverfahren substantiiert bestreiten, ohne dass er auf Spekulationen darüber angewiesen ist, aus welchen Gründen der Richter gegen seine Anträge entschieden hat. Der in verschiedenen Bereichen des Immaterialgüterrechts vorkommende Begriff der Verwechslungsgefahr ist zwar für das gesamte Kennzeichenrecht ein einheitlicher ( BGE 128 III 401 E. 5 S. 403). Es geht stets um die Beurteilung, ob ein Zeichen einem anderen derart ähnlich ist, dass die massgebenden Verkehrskreise Gefahr laufen, die gekennzeichneten Gegenstände zu verwechseln oder falsche Zusammenhänge zu vermuten ( BGE 128 III 146 E. 2a; BGE 127 III 160 E. 2b/c). Die Umstände, die im Übrigen die Gefahr falscher Individualisierung oder falscher Assoziationen erheblich beeinflussen, unterscheiden sich jedoch je nach dem Rechtsschutz, der für die Kennzeichen beansprucht wird. So sind etwa für den lauterkeitsrechtlichen Kennzeichenschutz ( Art. 3 lit. d UWG ) - im Gegensatz zum markenrechtlichen Schutz - Registereinträge nicht wesentlich BGE 134 I 83 S. 91 (vgl. BGE 116 II 365 E. 4 S. 370 und zum Ganzen das Urteil 4C.169/ 2004 vom 8. September 2004, E. 2.4, publ. in: sic! 3/2005 S. 221 ff.). Es ist demnach schlechterdings nicht möglich, ein Verbot wegen einer Verwechslungsgefahr nachvollziehbar zu begründen, wenn die einzelnen Voraussetzungen, die das MSchG oder das UWG dafür aufstellen, wie vorliegend, nicht genannt und auseinandergehalten werden. Die Zivilgerichtspräsidentin begründet ihre Verfügung vorwiegend mit der Gefahr der indirekten Verwechslung der Marke BOTOINA mit einer Marke BOTOX der Beschwerdegegnerin und der mit diesen Marken bezeichneten Produkte, wenn sie am Schluss ihrer Erwägungen zur Verwechslungsgefahr auch auf das "Erscheinungsbild" der Produkte Bezug nimmt. Sie konkretisiert jedoch die angeblich verletzten Markenrechte der Beschwerdegegnerin nicht, d.h. welche subjektiven Markenrechte der Beschwerdegegnerin nach welchen Rechtsnormen glaublich beeinträchtigt worden sein sollen. Ebenso wenig begründet sie die Gefahr der Verwechslung mit Bezug auf die Waren, für welche die angeblich verletzten Markenrechte beansprucht werden und für die der Verletzer sein Zeichen verwendet, was bei der Beurteilung der Verwechslungsgefahr ein wesentliches Element darstellt. Dies wäre indes vorliegend namentlich deshalb wichtig, weil die Beschwerdeführerin den Bestand eines Markenrechts BOTOX in der Schweiz zur Bezeichnung von kosmetisch einsetzbaren Produkten bestreitet und auch die Zivilgerichtspräsidentin selber feststellt, dass die Marke BOTOX in der Schweiz zur Bezeichnung von kosmetisch einsetzbaren Produkten nicht zugelassen sei. Anhaltspunkte dafür, dass die Zivilgerichtspräsidentin geprüft hätte, ob die in der Schweiz für neurologische und ophthalmologische Anwendungen zugelassene Marke BOTOX als berühmte Marke im Sinne von Art. 15 MSchG und damit über den Warengleichartigkeitsbereich hinaus gegen die Bezeichnung von kosmetisch einsetzbaren Produkten mit einem verwechselbaren Kennzeichen zu schützen ist, fehlen in der Begründung der angefochtenen Verfügung. Schliesslich wird aus der Begründung der Verfügung insgesamt auch nicht mit hinreichender Deutlichkeit ersichtlich, ob und inwiefern die Zivilgerichtspräsidentin eine lauterkeitsrechtlich relevante Verwechslungs- oder Irreführungsgefahr als glaubhaft gemacht erachtet haben könnte.</w:t>
      </w:r>
    </w:p>
    <w:p>
      <w:r>
        <w:rPr>
          <w:b/>
        </w:rPr>
        <w:t>E. 4.2.4</w:t>
      </w:r>
    </w:p>
    <w:p>
      <w:r>
        <w:t>Zusammenfassend ergibt sich, dass die Verfügung der Zivilgerichtspräsidentin den verfassungsrechtlichen Anforderungen BGE 134 I 83 S. 92 an die Begründung von Entscheiden nicht genügt. Die Beschwerdeführerin konnte daraus nicht entnehmen, auf welche Überlegungen sich das darin ausgesprochene Verbot stützt, so dass es ihr möglich gewesen wäre, die Verfügung in voller Kenntnis der Sache anzufechten. Sie war bei der Anfechtung vielmehr auf Spekulationen über die glaubhaft gemachte Anspruchsgrundlage angewiesen. Indem das Appellationsgericht verneinte, dass die Zivilgerichtspräsidentin die verfassungsrechtlichen Begründungsanforderungen missachtet habe, hat es seinerseits den Gehörsanspruch ( Art. 29 Abs. 2 BV ) der Beschwerdeführerin verletzt.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