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263</w:t>
      </w:r>
    </w:p>
    <w:p>
      <w:r>
        <w:t>Bundesgericht (BGE), 2008-05-20, FR</w:t>
      </w:r>
    </w:p>
    <w:p>
      <w:r>
        <w:rPr>
          <w:b/>
        </w:rPr>
        <w:t xml:space="preserve">Quelle: </w:t>
      </w:r>
      <w:r>
        <w:t>https://mcp.opencaselaw.ch/entscheid/bge_BGE_134_I_263</w:t>
      </w:r>
    </w:p>
    <w:p>
      <w:r>
        <w:t>FR: ATF 134 I 263</w:t>
      </w:r>
    </w:p>
    <w:p>
      <w:r>
        <w:t>IT: DTF 134 I 263</w:t>
      </w:r>
    </w:p>
    <w:p>
      <w:pPr>
        <w:pStyle w:val="Heading2"/>
      </w:pPr>
      <w:r>
        <w:t>Regeste</w:t>
      </w:r>
    </w:p>
    <w:p>
      <w:r>
        <w:t>Regeste Art. 9 BV; Art. 4 des Genfer Gesetzes über das Wohnungswesen und den Mieterschutz (LGL); Vorkaufsrecht der Gemeinde; Versprechen der Abtretung eines Erbanteils. Die Bedingungen der Abtretung sind nicht genügend bestimmt, um die Ausübung des Vorkaufsrechts der Gemeinde zu gestatten (E. 3).</w:t>
      </w:r>
    </w:p>
    <w:p>
      <w:r>
        <w:t>Regeste Art. 9 Cst.; art. 4 de la loi genevoise sur le logement et la protection des locataires (LGL); droit de préemption communal; promesse de cession de droits successifs. Les conditions de la cession ne sont pas suffisamment déterminées pour permettre l'exercice du droit de préemption de la commune (consid. 3).</w:t>
      </w:r>
    </w:p>
    <w:p>
      <w:r>
        <w:t>Regesto Art. 9 Cost.; art. 4 della legge ginevrina sull'alloggio e la protezione dei conduttori (LGL); diritto di prelazione comunale; promessa di cessione di ragioni ereditarie. Le condizioni della cessione non sono sufficientemente determinate per permettere al Comune l'esercizio del diritto di prelazione (consid. 3).</w:t>
      </w:r>
    </w:p>
    <w:p>
      <w:pPr>
        <w:pStyle w:val="Heading2"/>
      </w:pPr>
      <w:r>
        <w:t>Erwägungen</w:t>
      </w:r>
    </w:p>
    <w:p>
      <w:r>
        <w:rPr>
          <w:b/>
        </w:rPr>
        <w:t>E. 3</w:t>
      </w:r>
    </w:p>
    <w:p>
      <w:r>
        <w:t>Sur le fond, les recourants se plaignent d'une application arbitraire de l'art. 4 LGL. Selon eux, la promesse de vendre la part d'indivision de A. ne pouvait être assimilée à une promesse de vente portant sur l'immeuble proprement dit. Même si, comme le soutient la commune de Meyrin, le but des parties était d'éluder le droit de préemption communal, il n'existait aucun contrat dissimulé valable portant sur l'aliénation d'une part déterminée du bien-fonds. A défaut d'acte d'aliénation, la commune ne pouvait pas exercer son droit de préemption. Par ailleurs, la confirmation de l'arrêt cantonal impliquerait le maintien de la délibération communale du 7 juin 2007, laquelle constate par erreur l'existence d'un droit de propriété de A. sur la parcelle. Enfin, l'exercice du droit d'expropriation selon l'art. 6 LGL serait impossible, faute de porter sur un objet déterminé. La commune de Meyrin relève que la "promesse de vente" constituerait une promesse de cession de droits successifs au sens de l' art. 635 al. 2 CC , soumise à la forme écrite et conférant au cessionnaire une créance au transfert des choses et droits reçus dans le partage. Le cessionnaire pourrait ainsi directement exiger le transfert de propriété après le partage ( art. 665 al. 1 CC ), en requérant au besoin celui-ci sur la base de l' art. 604 CC . L'Etat ne pourrait plus intervenir par la suite pour exercer son droit de préemption. La construction juridique des intimés aurait donc pour but d'éluder ce droit.</w:t>
      </w:r>
    </w:p>
    <w:p>
      <w:r>
        <w:rPr>
          <w:b/>
        </w:rPr>
        <w:t>E. 3.1</w:t>
      </w:r>
    </w:p>
    <w:p>
      <w:r>
        <w:t>Il y a arbitraire, prohibé par l' art. 9 Cst. , lorsque la décision attaquée viole gravement une règle ou un principe juridique clair et BGE 134 I 263 S. 266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aux recourants de démontrer en vertu de l' art. 106 al. 2 LTF ( ATF 133 I 149 consid. 3.1 p. 153 et la jurisprudence citée).</w:t>
      </w:r>
    </w:p>
    <w:p>
      <w:r>
        <w:rPr>
          <w:b/>
        </w:rPr>
        <w:t>E. 3.2</w:t>
      </w:r>
    </w:p>
    <w:p>
      <w:r>
        <w:t>La LGL a pour but de permettre à l'Etat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l'Etat et des communes (art. 2 LGL). Ce droit s'applique notamment aux biens-fonds situés en zone de développement (art. 3 LGL). Selon l'art. 4 LGL, le propriétaire qui aliène ou promet d'aliéner avec droit d'emption un bien-fonds soumis au droit de préemption de l'Etat doit en aviser immédiatement le Conseil d'Etat et la commune lors de la passation de l'acte notarié; le propriétaire et l'acquéreur sont entendus. Conformément à l'art. 5 LGL, le Conseil d'Etat décide, dans les 60 jours, s'il renonce à exercer son droit, s'il entend acquérir le bien-fonds aux prix et conditions fixés dans l'acte, ou s'il offre de l'acquérir aux prix et conditions fixés par lui; dans ce dernier cas, si l'offre n'est pas acceptée, il peut recourir à la procédure d'expropriation conformément à l'art. 6 LGL. Si le Conseil d'Etat renonce à exercer son droit de préemption, la commune dispose ensuite d'un nouveau délai de 30 jours pour faire valoir les mêmes prérogatives.</w:t>
      </w:r>
    </w:p>
    <w:p>
      <w:r>
        <w:rPr>
          <w:b/>
        </w:rPr>
        <w:t>E. 3.3</w:t>
      </w:r>
    </w:p>
    <w:p>
      <w:r>
        <w:t>L'art. 4 LGL ne contient pas de définition précise des actes d'aliénation soumis au droit de préemption. Selon la jurisprudence du Tribunal administratif, confirmée par le Tribunal fédéral (arrêt 1P.767/1991 du 22 avril 1993), le terme d'aliénation recouvre tout transfert volontaire de la propriété ou d'un droit, opéré intégralement ou partiellement à titre onéreux. Au regard des buts poursuivis par la loi, le droit de préemption de l'Etat ne doit en effet pas se limiter aux seuls actes de vente; il s'étend à tous les actes de réalisation assimilables à la vente (y compris en cas de réalisation forcée - cf. SJ 2005 I 545), à l'exclusion des aliénations sans contre-prestation BGE 134 I 263 S. 267 pécuniaire, telles les donations mixtes ( ATF 126 III 187 consid. 2b; arrêt 1P.767/1991 du 22 avril 1993, consid. 2b). Tel est également le sens de l' art. 216c al. 1 CO , selon lequel le droit de préemption légal peut être exercé en cas de vente ainsi qu'à l'occasion de "tout autre acte juridique équivalant économiquement à une vente" ( ATF 126 III 187 consid. 2b). L'élément déterminant est la conclusion d'une convention visant au transfert de la propriété de l'immeuble contre une prestation pécuniaire. Constituent notamment des cas de préemption, en droit privé, la dation en paiement, les enchères volontaires, les ventes conditionnelles dont le préempteur accepte les conditions et l'exercice d'un droit d'emption (STEINAUER, Les droits réels, Berne 2002, tome 2, p. 146 et les exemples cités).</w:t>
      </w:r>
    </w:p>
    <w:p>
      <w:r>
        <w:rPr>
          <w:b/>
        </w:rPr>
        <w:t>E. 3.4</w:t>
      </w:r>
    </w:p>
    <w:p>
      <w:r>
        <w:t>La promesse de vente du 22 mars 2007 porte non pas sur un immeuble proprement dit, mais sur les droits indivis de A., pour 1/5 e , sur la parcelle qu'il détient actuellement en main commune avec les autres membres de l'hoirie ( art. 602 al. 2 CC ). La promesse a été passée en forme authentique et avec l'accord des co-héritiers, mais ces deux formalités n'étaient pas nécessaires puisqu'il ne s'agissait que d'une cession de droit au sens de l' art. 635 CC - et non d'une vente immobilière -, qui n'obligeait que le cédant ( art. 635 al. 2 CC ), raison pour laquelle l'inscription d'un droit d'emption a été refusée par le Registre foncier. L'acte du 22 mars 2007 n'a donc pas pour but de transférer immédiatement aux acheteurs la propriété d'une part de l'immeuble. Selon l'art. 4 LGL, le droit de préemption de l'Etat peut aussi s'exercer en cas de promesse d'aliénation, contrairement à la solution qui prévaut en droit privé ( ATF 85 II 572 consid. 4 p. 578); il faut toutefois pour cela qu'un droit d'emption ait été convenu. Si une clause de ce type existe bien dans la promesse de cession, l'inscription d'un tel droit a été refusée par le registre foncier, faute de porter sur un immeuble. Les conditions posées par la loi (aliénation ou promesse d'aliénation avec octroi d'un droit d'emption) ne sont donc pas réalisées.</w:t>
      </w:r>
    </w:p>
    <w:p>
      <w:r>
        <w:rPr>
          <w:b/>
        </w:rPr>
        <w:t>E. 3.5</w:t>
      </w:r>
    </w:p>
    <w:p>
      <w:r>
        <w:t>Pour qu'une promesse de cession puisse, au regard du texte et du but de la loi, être assimilée sans arbitraire à une aliénation onéreuse, il faudrait à tout le moins que l'objet, les conditions et le prix de vente ultérieurs en soient déjà précisés. Tel n'est pas non plus le cas en l'espèce. La cession de droit successif à un tiers ( art. 635 al. 2 CC ) confère à ce dernier un droit personnel à la délivrance des biens reçus par le BGE 134 I 263 S. 268 cédant dans le partage. Le cessionnaire n'acquiert pas la qualité d'héritier, et il ne peut pas intervenir directement dans le partage. Le droit d'exiger le transfert de propriété ne peut donc pas être exercé tant que le partage n'a pas eu lieu. Dans l'ignorance des expectatives dont dispose le cédant, il n'est pas possible d'affirmer avec certitude que celui-ci pourrait se voir attribuer, à l'issue du partage, une partie au moins de l'immeuble concerné par la cession. La commune de Meyrin relève que le cessionnaire pourrait obtenir l'inscription au registre foncier par voie judiciaire ( art. 665 al. 1 CC ); si cela est vrai pour une cession de droit successif, il n'en va pas de même pour une promesse de cession, soumise à certaines conditions. Selon les art. 4 et 5 de la promesse de cession, la signature de "l'acte de vente" est soumise à la condition que, entre le 1 er août et le 31 décembre 2008 (délai prolongeable), le plan localisé de quartier soit entré en force et que le prix de 542 fr. le m 2 soit atteint pour un coefficient d'utilisation de 1. Rien ne permet d'affirmer à l'heure actuelle que ces conditions - dont la réalisation ne dépend pas des parties au contrat - seront effectivement remplies dans le délai prévu. Par ailleurs, il n'est pas non plus exclu que la cession se fasse à un prix de vente inférieur, puisque le contrat prévoit en son article 10 que le prix pourra être adapté proportionnellement en cas de densité plus faible fixée dans le plan localisé de quartier. Ces différents points ne seront réglés que lors de la signature de l'acte de vente prévu à l'art. 4 de la convention.</w:t>
      </w:r>
    </w:p>
    <w:p>
      <w:r>
        <w:rPr>
          <w:b/>
        </w:rPr>
        <w:t>E. 3.6</w:t>
      </w:r>
    </w:p>
    <w:p>
      <w:r>
        <w:t>Si les termes de la convention font clairement ressortir la volonté des cessionnaires d'obtenir à terme une partie des droits de propriété sur la parcelle en question, les conditions de la cession ne paraissent manifestement pas suffisamment arrêtées pour permettre l'exercice du droit de préemption de l'Etat. Dans ces circonstances, il n'est pas soutenable d'assimiler une promesse de cession à une aliénation au sens de l'art. 4 LGL. Le recours en matière de droit public doit par conséquent être admis, sans qu'il y ait lieu d'examiner les griefs relatifs aux art. 26 et 27 Cst. ainsi qu'au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