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204</w:t>
      </w:r>
    </w:p>
    <w:p>
      <w:r>
        <w:t>Bundesgericht (BGE), 2008-01-01, DE</w:t>
      </w:r>
    </w:p>
    <w:p>
      <w:r>
        <w:rPr>
          <w:b/>
        </w:rPr>
        <w:t xml:space="preserve">Quelle: </w:t>
      </w:r>
      <w:r>
        <w:t>https://mcp.opencaselaw.ch/entscheid/bge_BGE_134_I_204</w:t>
      </w:r>
    </w:p>
    <w:p>
      <w:r>
        <w:t>FR: ATF 134 I 204</w:t>
      </w:r>
    </w:p>
    <w:p>
      <w:r>
        <w:t>IT: DTF 134 I 204</w:t>
      </w:r>
    </w:p>
    <w:p>
      <w:pPr>
        <w:pStyle w:val="Heading2"/>
      </w:pPr>
      <w:r>
        <w:t>Regeste</w:t>
      </w:r>
    </w:p>
    <w:p>
      <w:r>
        <w:t>Regeste Art. 9 und 50 BV; Art. 89 Abs. 1 und Abs. 2 lit. c BGG; Beschwerde in öffentlich-rechtlichen Angelegenheiten; Beschwerdelegitimation; öffentliches Personalrecht. Der Beschwerdeführer ist ein kommunaler Zweckverband und durch das angefochtene Urteil als Träger hoheitlicher Gewalt betroffen, weshalb er gestützt auf Art. 89 Abs. 2 lit. c BGG die Verletzung von Garantien rügen kann, die ihm die Kantons- oder Bundesverfassung einräumt. Die Beschwerdelegitimation des Gemeinwesens ist auch nach Art. 89 Abs. 1 BGG gegeben, wenn dieses in gleicher oder zumindest ähnlicher Weise berührt wird wie ein privater Arbeitgeber. Dies ist bei vermögensrechtlichen Streitigkeiten im Bereich des öffentlichen Personalrechts grundsätzlich zu bejahen (E. 2).</w:t>
      </w:r>
    </w:p>
    <w:p>
      <w:r>
        <w:t>Regeste Art. 9 et 50 Cst.; art. 89 al. 1 et al. 2 let. c LTF; recours en matière de droit public; qualité pour recourir; droit de la fonction publique. Une association intercommunale atteinte par la décision attaquée en tant que détentrice de la puissance publique peut recourir sur la base de l'art. 89 al. 2 let. c LTF en invoquant la violation de garanties qui lui sont reconnues par la constitution cantonale ou la Constitution fédérale. La qualité pour agir des collectivités publiques est également donnée au regard de l'art. 89 al. 1 LTF, lorsqu'elles sont touchées de façon identique ou analogue à un employeur privé. Tel est en principe le cas dans les litiges de nature pécuniaire relevant du droit de la fonction publique (consid. 2).</w:t>
      </w:r>
    </w:p>
    <w:p>
      <w:r>
        <w:t>Regesto Art. 9 e 50 Cost.; art. 89 cpv. 1 e cpv. 2 lett. c LTF; ricorso in materia di diritto pubblico; diritto di ricorso; ordinamento del personale pubblico. Un consorzio intercomunale toccato come titolare del pubblico potere dalla decisione impugnata è legittimato a far valere, sulla base dell'art. 89 cpv. 2 lett. c LTF, la violazione di garanzie riconosciutegli dalla Costituzione federale o cantonale. La legittimazione a ricorrere di enti pubblici è data anche secondo l'art. 89 cpv. 1 LTF, qualora siano toccati in maniera uguale o per lo meno analoga a quella di un datore di lavoro privato. Ciò si verifica, di massima, riguardo a controversie in materia patrimoniale nell'ambito del diritto sull'ordinamento del personale pubblico (consid. 2).</w:t>
      </w:r>
    </w:p>
    <w:p>
      <w:pPr>
        <w:pStyle w:val="Heading2"/>
      </w:pPr>
      <w:r>
        <w:t>Erwägungen</w:t>
      </w:r>
    </w:p>
    <w:p>
      <w:r>
        <w:rPr>
          <w:b/>
        </w:rPr>
        <w:t>E. 2</w:t>
      </w:r>
    </w:p>
    <w:p>
      <w:r>
        <w:t>Der Beschwerdeführer erhebt sowohl Beschwerde in öffentlich-rechtlichen Angelegenheiten ( Art. 82 ff. BGG ) als auch BGE 134 I 204 S. 206 Verfassungsbeschwerde ( Art. 113 ff. BGG ). Infolge der subsidiären Natur der Verfassungsbeschwerde (vgl. Art. 113 BGG ) ist zuerst zu prüfen, ob die Eintretensvoraussetzungen der Beschwerde in öffentlich-rechtlichen Angelegenheiten erfüllt sind.</w:t>
      </w:r>
    </w:p>
    <w:p>
      <w:r>
        <w:rPr>
          <w:b/>
        </w:rPr>
        <w:t>E. 2.1</w:t>
      </w:r>
    </w:p>
    <w:p>
      <w:r>
        <w:t>Das angefochtene Urteil des Verwaltungsgerichts, ein Endentscheid einer letzten kantonalen Instanz ( Art. 86 Abs. 1 lit. d, Art. 90 BGG ), betrifft ein öffentlich-rechtliches Arbeitsverhältnis, d.h. eine öffentlich-rechtliche Angelegenheit im Sinn von Art. 82 lit. a BGG . Der Verfahrensgegenstand betrifft eine Abgangsentschädigung von sechs Monatslöhnen in der Höhe von insgesamt Fr. 38'424.30. Es handelt sich um eine vermögensrechtliche Streitigkeit, weshalb der Ausschlussgrund von Art. 83 lit. g BGG nicht gegeben ist. Die Streitwertgrenze von Fr. 15'000.- ist erreicht ( Art. 85 Abs. 1 lit. b BGG ).</w:t>
      </w:r>
    </w:p>
    <w:p>
      <w:r>
        <w:rPr>
          <w:b/>
        </w:rPr>
        <w:t>E. 2.2</w:t>
      </w:r>
    </w:p>
    <w:p>
      <w:r>
        <w:t>Der Beschwerdeführer ist ein kommunaler Zweckverband und somit eine öffentlich-rechtliche Körperschaft mit eigener Rechtspersönlichkeit (§ 166 Abs. 1 des Gemeindegesetzes vom 16. Februar 1992 des Kantons Solothurn [GG/SO]). Er ist durch das angefochtene Urteil als Träger hoheitlicher Gewalt betroffen, weshalb er gestützt auf Art. 89 Abs. 2 lit. c BGG die Verletzung von Garantien rügen kann, die ihm die Kantons- oder Bundesverfassung einräumt. Die Vorschrift übernimmt die diesbezügliche Rechtsprechung der staatsrechtlichen Beschwerde (Botschaft vom 28. Februar 2001 zur Totalrevision der Bundesrechtspflege, BBl 2001 S. 4330). In diesem Rahmen kann der Beschwerdeführer auch eine Verletzung des Willkürverbots ( Art. 9 BV ) rügen, soweit dieses Vorbringen mit der Autonomieverletzung in engem Zusammenhang steht ( BGE 131 I 91 E. 1 S. 93 mit Hinweisen).</w:t>
      </w:r>
    </w:p>
    <w:p>
      <w:r>
        <w:rPr>
          <w:b/>
        </w:rPr>
        <w:t>E. 2.3</w:t>
      </w:r>
    </w:p>
    <w:p>
      <w:r>
        <w:t>Näher zu prüfen ist, ob der Beschwerdeführer auch ohne Zusammenhang mit einer Autonomieverletzung zur Beschwerdeführung legitimiert ist. 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Dieses allgemeine Beschwerderecht, das an die bisherige Beschwerdelegitimation für die Verwaltungsgerichtsbeschwerde nach BGE 134 I 204 S. 207 Art. 103 lit. a OG anknüpft, ist grundsätzlich auf Privatpersonen zugeschnitten ( BGE 133 II 400 E. 2.4.2 S. 406). Nach der zu Art. 103 lit. a OG entwickelten Praxis können sich Gemeinwesen jedoch dann auf diese allgemeine Umschreibung der Legitimation berufen, wenn sie gleich oder ähnlich wie ein Privater betroffen oder aber in schutzwürdigen eigenen hoheitlichen Interessen berührt sind (vgl. BGE 131 II 58 E. 1.3 S. 61 ff., BGE 131 II 753 E. 4.3 S. 757 ff.; BGE 124 II 293 E. 3b S. 304; BGE 123 II 371 E. 2c S. 374 f., je mit Hinweisen). Hingegen begründet nach ständiger Praxis das blosse allgemeine Interesse an der richtigen und einheitlichen Anwendung des Rechts keine Beschwerdelegitimation des Gemeinwesens; insbesondere ist die in einem Rechtsmittelverfahren unterlegene Vorinstanz nicht legitimiert ( BGE 123 II 371 E. 2d S. 375 mit Hinweisen). Unter der Geltung des OG stellte sich die Frage der Beschwerdelegitimation von Gemeinwesen im Bereich des Personalrechts kaum: Gegen Entscheide der eidgenössischen Personalrekurskommission konnte die Bundesverwaltung gestützt auf Art. 103 lit. b OG Beschwerde führen; gegen kantonale Entscheide stand nur die staatsrechtliche Beschwerde offen, zu deren Erhebung (von Autonomiebeschwerden ausgenommen) nur Private legitimiert waren ( Art. 88 OG ). Die Verwaltungsgerichtsbeschwerde war allerdings gegen sämtliche Verfügungen uneingeschränkt zulässig, die sich auf das Bundesgesetz vom 24. März 1995 über die Gleichstellung von Frau und Mann (Gleichstellungsgesetz, GlG; SR 151.1) stützten. In diesem Bereich wurde die Legitimation von Gemeinden und Kantonen anerkannt, weil das Gleichstellungsgesetz in seinen zentralen materiellrechtlichen Bestimmungen gleichermassen für privatrechtliche und öffentlich-rechtliche Arbeitsverhältnisse gilt und der öffentliche Arbeitgeber, der seinen Angestellten eine Leistung nach Art. 5 GlG ausrichten muss, dadurch in gleicher Weise berührt wird wie ein privater Arbeitgeber ( BGE 124 II 409 E. 1e/dd S. 419). In Anknüpfung an diese Rechtsprechung ist die Legitimation von Gemeinwesen zur Beschwerde in öffentlich-rechtlichen Angelegenheiten nach Art. 89 Abs. 1 BGG zu bejahen, wenn diese in gleicher oder zumindest ähnlicher Weise berührt werden wie ein privater Arbeitgeber. Dies ist bei vermögensrechtlichen Streitigkeiten im Bereich des öffentlichen Dienstrechts grundsätzlich zu bejahen, auch wenn sich die Arbeitsverhältnisse nicht nach OR, sondern nach öffentlichem Recht richten. Wird zum Beispiel um die Höhe des Lohns oder über eine Abgangsentschädigung wegen angeblich BGE 134 I 204 S. 208 missbräuchlicher Kündigung gestritten, befindet sich das Gemeinwesen in der Rolle des Arbeitgebers und somit in einer dem privaten Arbeitgeber vergleichbaren Situation (PIERRE MOOR, La qualité pour agir des autorités et collectivités dans les recours de droit public et de droit administratif, in: Etudes de procédure et d'arbitrage en l'honneur de Jean-François Poudret, Lausanne 1999, S. 18 f.). In diesen Fällen hat das Gemeinwesen ein besonderes schutzwürdiges Interesse an der Aufhebung eines Entscheides. Wie es sich verhält bei nicht vermögensrechtlichen Streitigkeiten und solchen, die der subsidiären Verfassungsbeschwerde unterliegen, ist hier nicht zu prüfen. Nach dem Gesagten ist der Beschwerdeführer, der sich gegen die Verurteilung zur Zahlung einer Abgangsentschädigung wehrt, gemäss Art. 89 Abs. 1 BGG zur Beschwerde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