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175</w:t>
      </w:r>
    </w:p>
    <w:p>
      <w:r>
        <w:t>Bundesgericht (BGE), 2008-04-24, DE</w:t>
      </w:r>
    </w:p>
    <w:p>
      <w:r>
        <w:rPr>
          <w:b/>
        </w:rPr>
        <w:t xml:space="preserve">Quelle: </w:t>
      </w:r>
      <w:r>
        <w:t>https://mcp.opencaselaw.ch/entscheid/bge_BGE_134_IV_175</w:t>
      </w:r>
    </w:p>
    <w:p>
      <w:r>
        <w:t>FR: ATF 134 IV 175</w:t>
      </w:r>
    </w:p>
    <w:p>
      <w:r>
        <w:t>IT: DTF 134 IV 175</w:t>
      </w:r>
    </w:p>
    <w:p>
      <w:pPr>
        <w:pStyle w:val="Heading2"/>
      </w:pPr>
      <w:r>
        <w:t>Regeste</w:t>
      </w:r>
    </w:p>
    <w:p>
      <w:r>
        <w:t>Regeste a Art. 117 StGB; Art. 53 ff. HMG. Tödlich verlaufener Einsatz eines Krebsmedikaments. Die strafrechtlichen Sorgfaltspflichten bei einem experimentellen Einsatz eines Medikaments richten sich nach den Bestimmungen über klinische Versuche mit Heilmitteln (Art. 53 ff. HMG). Die Vorschriften sind jedoch nur auf systematische Forschungsuntersuchungen und nicht auch auf individuelle Heilversuche anwendbar (E. 3).</w:t>
      </w:r>
    </w:p>
    <w:p>
      <w:r>
        <w:t>Regeste b Art. 3 und 26 HMG; Sorgfaltspflichten bei der Verschreibung und Abgabe von Arzneimitteln. Wird ein Medikament ausserhalb der zugelassenen Indikation oder Dosierung abgegeben, so liegt ein "off-label use" vor. Ein solcher ist bei Beachtung der allgemeinen heilmittelgesetzlichen Sorgfaltspflichten (Art. 3 und 26 HMG) sowie der anerkannten Regeln der medizinischen Wissenschaften grundsätzlich zulässig (E. 4 und 5).</w:t>
      </w:r>
    </w:p>
    <w:p>
      <w:r>
        <w:t>Regeste a Art. 117 CP; art. 53 ss LPTh. Administration létale d'un médicament contre le cancer. Pour déterminer le devoir de diligence du médecin en cas d'administration de médicaments expérimentaux, il faut se référer aux dispositions légales sur les essais cliniques de produits thérapeutiques (art. 53 ss LPTh). Ces règles ne s'appliquent toutefois qu'aux recherches systématiques, non aux essais thérapeutiques individuels (consid. 3).</w:t>
      </w:r>
    </w:p>
    <w:p>
      <w:r>
        <w:t>Regeste b Art. 3 et 26 LPTh; diligence à observer pour la prescription et la remise de médicaments. Lorsqu'un médicament est utilisé pour une autre indication ou avec une autre posologie que celle admise, il y a emploi non conforme ou "hors étiquette". En principe, un tel emploi est licite si les devoirs généraux de diligence institués par la loi sur les produits thérapeutiques (art. 3 et 26 LPTh), ainsi que les règles reconnues de la science médicale, sont respectés (consid. 4 et 5).</w:t>
      </w:r>
    </w:p>
    <w:p>
      <w:r>
        <w:t>Regesto a Art. 117 CP; art. 53 segg. LATer. Impiego dalle conseguenze mortali di un medicamento contro il cancro. In caso di impiego sperimentale di un medicamento, i doveri di diligenza si determinano secondo le disposizioni sulle sperimentazioni cliniche con agenti terapeutici (art. 53 segg. LATer). Queste prescrizioni si applicano soltanto a ricerche sistematiche, ma non a sperimentazioni terapeutiche individuali (consid. 3).</w:t>
      </w:r>
    </w:p>
    <w:p>
      <w:r>
        <w:t>Regesto b Art. 3 e 26 LATer; doveri di diligenza in caso di prescrizione e dispensazione di medicamenti. Qualora un medicamento sia dispensato in deroga alle indicazioni o ai dosaggi ammessi, si è in presenza di un "off-label use". Di regola, tale impiego è lecito ove si osservino i doveri generali di diligenza stabiliti dalla legge sugli agenti terapeutici (art. 3 e 26 LATer) nonché le norme riconosciute dalle scienze mediche e farmaceutiche (consid. 4 e 5).</w:t>
      </w:r>
    </w:p>
    <w:p>
      <w:pPr>
        <w:pStyle w:val="Heading2"/>
      </w:pPr>
      <w:r>
        <w:t>Erwägungen</w:t>
      </w:r>
    </w:p>
    <w:p>
      <w:r>
        <w:rPr>
          <w:b/>
        </w:rPr>
        <w:t>E. 3</w:t>
      </w:r>
    </w:p>
    <w:p>
      <w:r>
        <w:t>Der Beschwerdeführer macht geltend, dass die vorinstanzliche Bestätigung der Verfahrenseinstellung in Verletzung von Art. 117 StGB sowie der bundesrechtlichen Vorschriften über die klinischen Heilmittelversuche von Art. 53 ff. des Bundesgesetzes vom 15. Dezember 2000 über Arzneimittel und Medizinprodukte (Heilmittelgesetz, HMG; SR 812.21) ergangen sei.</w:t>
      </w:r>
    </w:p>
    <w:p>
      <w:r>
        <w:rPr>
          <w:b/>
        </w:rPr>
        <w:t>E. 3.1</w:t>
      </w:r>
    </w:p>
    <w:p>
      <w:r>
        <w:t>Nach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Wo besondere Normen ein bestimmtes Verhalten gebieten, bestimmt sich das Mass der dabei zu beachtenden Sorgfalt in erster Linie nach diesen Vorschriften ( BGE 127 IV 34 E. 2a m.w.H.).</w:t>
      </w:r>
    </w:p>
    <w:p>
      <w:r>
        <w:rPr>
          <w:b/>
        </w:rPr>
        <w:t>E. 3.2</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indes nicht für jene Gefahren und Risiken einzustehen, die immanent mit jeder ärztlichen Handlung und auch mit der Krankheit an sich verbunden sind. Zudem steht dem Arzt sowohl in der Diagnose BGE 134 IV 175 S. 178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 BGE 130 IV 7 E. 3.3 m.w.H.).</w:t>
      </w:r>
    </w:p>
    <w:p>
      <w:r>
        <w:rPr>
          <w:b/>
        </w:rPr>
        <w:t>E. 3.3</w:t>
      </w:r>
    </w:p>
    <w:p>
      <w:r>
        <w:t>Jeder klinische Versuch mit Heilmitteln am Menschen muss nach den anerkannten Regeln der Guten Praxis der klinischen Versuche durchgeführt werden ( Art. 53 Abs. 1 HMG ). Der Bundesrat umschreibt die anerkannten Regeln der Guten Praxis der klinischen Versuche näher ( Art. 53 Abs. 2 HMG ; vgl. dazu Verordnung vom 17. Oktober 2001 über klinische Versuche mit Heilmitteln [VKlin; SR 812.214.2; AS 2001 S. 3511 ff.]). Nach Art. 54 Abs. 1 HMG ist die Durchführung klinischer Versuche nur zulässig, wenn die Versuchspersonen über den Versuchszweck und Ablauf, die Behandlungsalternativen, die Versuchsrisiken, ihren Entschädigungsanspruch und ihr Widerrufsrecht aufgeklärt worden sind und aus freiem Willen schriftlich eingewilligt haben (lit. a), die Entschädigung der Versuchspersonen für versuchsbedingte Schäden gewährleistet ist (lit. b) sowie die zuständige Ethikkommission den Versuch befürwortet (lit. c). Klinische Versuche sind vor der Durchführung dem Schweizerischen Heilmittelinstitut zu melden ( Art. 54 Abs. 3 HMG ). Das Heilmittelgesetz definiert den klinischen Versuch nicht. Nach Art. 5 lit. a VKlin in der Fassung vom 17. Oktober 2001 (AS 2001 S. 3512) galt als klinischer Versuch eine am Menschen durchgeführte Untersuchung, mit der Sicherheit und Wirksamkeit sowie weitere Eigenschaften eines Heilmittels systematisch überprüft werden. Nach der Rechtsprechung des Bundesgerichts gilt im eidgenössischen Heilmittelrecht grundsätzlich jede systematische Forschung am Menschen mit Heilmitteln als klinischer Versuch (Urteil des Bundesgerichts 2A.522/2004 vom 18. August 2005, E. 4.3, publ. in: ZBl 107/2006 S. 651; zum Ganzen: D. SPRUMONT/M.-L. BÉGUIN, La nouvelle réglementation des essais cliniques de médicaments, Bulletin des médecins suisses 83/2002 S. 894 ff.).</w:t>
      </w:r>
    </w:p>
    <w:p>
      <w:r>
        <w:rPr>
          <w:b/>
        </w:rPr>
        <w:t>E. 3.4</w:t>
      </w:r>
    </w:p>
    <w:p>
      <w:r>
        <w:t>Entgegen den Vorbringen des Beschwerdeführers sind die Vorschriften des Heilmittelgesetzes zu den klinischen Heilmittelversuchen nicht einschlägig. Vorliegend ging es nicht um eine systematische Überprüfung der Wirksamkeit und Sicherheit eines Heilmittels im Sinne von Art. 5 lit. a VKlin . Zwar lehnte sich die Behandlungsmethode (präoperative Infusion) und die Dosierung BGE 134 IV 175 S. 179 (1000 mg/m2 5-FU pro 24 Stunden) an eine laufende deutsche Studie an, doch ist unbestritten, dass K.A. daran nicht teilnahm und die Studie auch nicht beim Schweizerischen Heilmittelinstitut gemeldet war. Es ging vorliegend um den individuellen Einsatz eines Heilmittels zu Therapiezwecken ausserhalb einer kontrollierten klinischen Versuchsreihe. Die qualifizierten Aufklärungs- und Einwilligungsvoraussetzungen für klinische Versuche (vgl. Art. 54 HMG ) sind deshalb nicht anwendbar.</w:t>
      </w:r>
    </w:p>
    <w:p>
      <w:r>
        <w:rPr>
          <w:b/>
        </w:rPr>
        <w:t>E. 4</w:t>
      </w:r>
    </w:p>
    <w:p>
      <w:r>
        <w:t>Gemäss dem Beschwerdeführer ergibt sich die Sorgfaltspflichtverletzung ferner aus einem Verstoss gegen den Gefahrensatz. Die gewählte Behandlung habe nicht dem medizinischen Standard entsprochen. In Anlehnung an eine damals laufende deutsche Studie sei das Medikament in wesentlich höherer Dosierung als im Kompendium und vom Hersteller vorgeschrieben eingesetzt worden.</w:t>
      </w:r>
    </w:p>
    <w:p>
      <w:r>
        <w:rPr>
          <w:b/>
        </w:rPr>
        <w:t>E. 4.1</w:t>
      </w:r>
    </w:p>
    <w:p>
      <w:r>
        <w:t>Soweit der Beschwerdeführer die Zulassung des 5-FU von B. bestreitet, wendet er sich wie erwähnt (E. ...) gegen eine nicht willkürliche Tatsachenfeststellung der Vorinstanz. Unbestritten ist hingegen, dass die Arznei in einer höheren als im Beipackzettel und im Kompendium vorgesehenen Dosierung verabreicht wurde. Wird ein Medikament ausserhalb der zugelassenen Indikation oder Dosierung abgegeben, so liegt ein sog. "off-label use" vor ("médicament administré hors étiquette", vgl. BGE 130 V 532 E. 5.3; BGE 131 V 349 E. 2 f.). Das Heilmittelgesetz verbietet den "off-label use" von Arzneimitteln nicht. Er ist bei Beachtung der allgemeinen heilmittelgesetzlichen Sorgfaltspflichten somit grundsätzlich zulässig (vgl. URS JAISLI, Basler Kommentar, Heilmittelgesetz, N. 45 zu Art. 3 HMG ; PETER MOSIMANN/MARKUS SCHOTT, Basler Kommentar, Heilmittelgesetz, N. 21 Art. 9 HMG ; FRANK T. PETERMANN, Off-Label - Rechtliche Betrachtungen zum Off-Label Use von Pharmazeutika, in: Health Insurance Liability Law [Hill], 2007, Fachartikel Nr. 2). Art. 3 HMG statuiert für den Umgang mit Heilmitteln eine allgemeine Sorgfaltspflicht, wonach alle Massnahmen getroffen werden müssen, die nach dem Stand von Wissenschaft und Technik erforderlich sind, damit die Gesundheit von Mensch und Tier nicht gefährdet wird. Diese allgemeine Sorgfaltspflicht wird für den Bereich der Arzneimittel in Art. 26 Abs. 1 HMG konkretisiert: Bei der Verschreibung und der Abgabe von Arzneimitteln müssen die anerkannten Regeln der medizinischen und pharmazeutischen Wissenschaften beachtet werden (vgl. Botschaft zum Heilmittelgesetz, BBl 1999 S. 3487; HEIDI BÜRGI, Basler BGE 134 IV 175 S. 180 Kommentar, Heilmittelgesetz, N. 7 ff. zu Art. 26 HMG ; zur Bestimmung des Stands der medizinischen Wissenschaft insb. BRIGITTE TAG, Der Körperverletzungstatbestand im Spannungsfeld zwischen Patientenautonomie und lex artis, S. 229 ff.). In diesem Sinne haben die Schweizerische Kantonsapothekervereinigung und die Swissmedic in einer Stellungnahme festgehalten, dass es Ärzten im Rahmen ihrer Therapiefreiheit möglich ist, Arzneimittel zu verschreiben oder anzuwenden, für die keine Zulassung der Swissmedic vorliegt. Die Verantwortung für einen solchen Arzneimitteleinsatz tragen alleine die behandelnden Ärzte, wobei sie die ärztliche Sorgfaltspflicht im Allgemeinen und die anerkannten Regeln der medizinischen Wissenschaften bei der Verschreibung und Abgabe von Arzneimitteln nach Art. 26 HMG im Besonderen beachten müssen. Sie müssen demnach insbesondere eine hinreichende Aufklärung der betroffenen Patienten nachweisen und plausibel darlegen können, weshalb - gestützt auf die anerkannten Regeln der medizinischen Wissenschaften - ausnahmsweise ein Arzneimittel ohne behördliche Zulassung eingesetzt wurde. Diese Verpflichtung ist umso stärker zu gewichten, je weniger über den Einsatz eines Arzneimittels wissenschaftlich bekannt ist (vgl. "Ausführungen der Schweizerischen Kantonsapothekervereinigung und der Swissmedic betreffend des Einsatzes von Arzneimitteln im Sinne des off-label use" vom 24. Juli 2006, E. D Ziff. 2; publiziert: www.swissmedic.ch).</w:t>
      </w:r>
    </w:p>
    <w:p>
      <w:r>
        <w:rPr>
          <w:b/>
        </w:rPr>
        <w:t>E. 4.2</w:t>
      </w:r>
    </w:p>
    <w:p>
      <w:r>
        <w:t>Nach dem Ausgeführten haben sich Ärzte beim "off-label use" somit an die anerkannten Regeln der medizinischen und pharmazeutischen Wissenschaften zu halten. Vorliegend ist indes umstritten, ob solche anerkannten Regeln für die gewählte Behandlung überhaupt schon bestanden, oder ob die hochdosierte 5-FU Therapie damals mangels wissenschaftlich gesicherter Erkenntnisse noch rein experimentellen Charakter hatte. Diese Unterscheidung ist insofern bedeutsam, als medizinisch etablierte Standardeingriffe nach einhelliger Meinung in der medizinrechtlichen Literatur weit weniger strengen Zulässigkeitsvoraussetzungen unterliegen als experimentelle Heilversuche, insbesondere hinsichtlich der präinvasiven Aufklärungs- und Risikoabwägungspflichten (vgl. DANIEL BUSSMANN, Die strafrechtliche Beurteilung von ärztlichen Heileingriffen, Zürich 1984, S. 89 ff.; ERWIN DEUTSCH, Medizinrecht, 4. Aufl., N. 539 ff.; MONIKA GATTIKER, das Humanforschungsgesetz [HFG]: ein Gesetzesentwurf mit Lücken, AJP 2006 S. 1536; DIETER HART, BGE 134 IV 175 S. 181 Heilversuch, Entwicklung therapeutischer Strategien, klinische Prüfung und Humanexperiment, Medizinrecht [MedR] 1994 S. 94 ff.; ders. , MedR 1998 S. 8 ff.; SCHÖNKE/SCHRÖDER-ESER, Strafgesetzbuch, Kommentar, 26. Aufl., § 223 N. 50a; HANS-ULLRICH PAEFFGEN, Nomos-Kommentar zum Strafgesetzbuch, 2. Aufl., § 228 N. 87; FRANZISKA SPRECHER, Medizinische Forschung mit Kindern und Jugendlichen, St. Gallen 2007, S. 46 f.; TAUPITZ/BREWE/SCHELLING, in: Das Menschenrechtsübereinkommen zur Biomedizin des Europarates, S. 412 f.; MARC THOMMEN, Medizinische Eingriffe an Urteilsunfähigen, Basel 2004, S. 37 ff.; PHILIPPE WEISSENBERGER, Die Einwilligung des Verletzten bei Delikten gegen Leib und Leben, Basel 1996, S. 157 ff.; HANS WIPRÄCHTIGER, "Kriminalisierung" der ärztlichen Tätigkeit?, in: A. Donatsch et al. [Hrsg.], Strafrecht und Medizin, S. 61 ff.). Nachfolgend ist zu beurteilen, ob die hochdosierte 5-FU Abgabe im Behandlungszeitpunkt als noch experimenteller oder schon etablierter Eingriff einzustufen war.</w:t>
      </w:r>
    </w:p>
    <w:p>
      <w:r>
        <w:rPr>
          <w:b/>
        </w:rPr>
        <w:t>E. 4.3</w:t>
      </w:r>
    </w:p>
    <w:p>
      <w:r>
        <w:t>Die Vorinstanz kommt in Anlehnung an das Obergutachten zum Schluss, dass es sich um eine gängige Therapieform mit üblicher Dosierung handelte, welche im Einklang mit dem damals aktuellen Stand der Medizin war. Ob eine Behandlungsmethode, die noch Gegenstand einer laufenden grossangelegten Vergleichsstudie war, bereits als etablierter Behandlungsstandard gelten kann, erscheint grundsätzlich fraglich. Mangels wissenschaftlich abgesicherter Erkenntnisse und angesichts ungewisser Risiken sind solche Verfahren normalerweise den insoweit experimentellen Heilversuchseingriffen zuzuordnen. Die Vorinstanz bringt indes gewichtige Argumente vor, weshalb die durchgeführte Behandlung trotz damals laufender Studie als Standard einzustufen ist. Das angewendete Medikament "5-FU B." sei aufgrund einer vom Kantonsapotheker erteilten Sonderbewilligung zugelassen gewesen. Bereits im Jahr 1997 habe eine schwedische Studie die Überlegenheit der präoperativen Radio-Chemotherapie nachgewiesen. Bei der seit 1995 laufenden und 2004 publizierten deutschen Studie sei bei einem Patientenkollektiv von rund 800 Personen der präoperative Einsatz von 5-FU mit dem postoperativen verglichen worden. Die Schweizer Onkologen seien über diese Studie und die dabei angewandten Dosierungen auf dem Laufenden gewesen. Die übliche Verträglichkeit der Dosierung von täglich 1000 mg pro m 2 Körperoberfläche sei schon aus der Behandlung anderer Karzinome (Speiseröhre) bekannt gewesen. Vorliegend wurde daher aufgrund der 1.52 m 2 Körperoberfläche der BGE 134 IV 175 S. 182 Patientin eine Dosierung von 1500 mg/Tag verabreicht. Auf die grossen Unterschiede in der optimalen Dosierung sei im Beipackzettel verwiesen worden. Ferner seien in der Studie auch Abbruchkriterien festgelegt worden. Hätte sich die postoperative Behandlung als überlegen erwiesen oder andere Erkenntnisse die Schädlichkeit des therapeutischen Vorgehens belegt, so wäre die Studie bereits nach den ersten 50 Patienten abgebrochen worden. Der Beschwerdeführer zeigt nicht auf, inwiefern vor diesem Hintergrund die Bejahung eines medizinischen Behandlungsstandards willkürlich sein soll. Damit steht aber auch fest, dass mangels experimentellen Charakters der Behandlung die qualifizierten Sorgfalts- und Aufklärungspflichten für Heilversuche nicht herangezogen werden können. Zu Recht verneint die Vorinstanz deshalb die Erforderlichkeit einer "speziellen Einwilligung" zu einer Teilnahme an einem medizinischen Experiment ausserhalb der damals bestehenden medizinischen Erkenntnisse. Da sich die behandelnden Ärzte insbesondere hinsichtlich der Dosierung und des präoperativen Einsatzes an die damals etablierteste Behandlungsmethode hielten, kann ihnen auch nicht vorgeworfen werden, die beim "off-label use" gemäss Heilmittelgesetz zu beachtenden Sorgfaltspflichten verletzt zu haben. Die Beschwerde ist insoweit abzuweisen.</w:t>
      </w:r>
    </w:p>
    <w:p>
      <w:r>
        <w:rPr>
          <w:b/>
        </w:rPr>
        <w:t>E. 5</w:t>
      </w:r>
    </w:p>
    <w:p>
      <w:r>
        <w:t>Der Beschwerdeführer macht in Bezug auf die möglichen Todesursachen Sorgfaltspflichtverletzungen geltend. Trotz Auftretens schwerer Nebenwirkungen sei die hochdosierte Therapie nicht gestoppt worden. Die Kardio- und Neurotoxizität von im Lösungsmittel "Tris" gelöstem 5-FU sei schon seit Jahren bekannt gewesen. Es sei daher unhaltbar, daneben noch einen Enzymdefekt als Todesursache zu erwägen. Zudem sei dieser Mangel nicht vorab abgeklärt worden. Die Herstellerin, Ärzte und Spitalapotheker hätten mangelnde Sorgfalt walten lassen. Es gehe nicht an, dass niemand verantwortlich gemacht werde.</w:t>
      </w:r>
    </w:p>
    <w:p>
      <w:r>
        <w:rPr>
          <w:b/>
        </w:rPr>
        <w:t>E. 5.1</w:t>
      </w:r>
    </w:p>
    <w:p>
      <w:r>
        <w:t>Die Vorinstanz erwägt als möglicherweise todesursächliche Sorgfaltspflichtverletzung den verspäteten Behandlungsabbruch. Sie schliesst sich diesbezüglich jedoch in einer willkürfreien Beweiswürdigung den gutachterlichen Ausführungen an. Danach sind Übelkeit und Durchfall häufige Nebenwirkungen von Krebsmedikamenten, welche für sich noch keinen Behandlungsabbruch, sondern andere Gegenmassnahmen nahelegen. Erst das Auftreten neurologischer Störungen habe den Verdacht auf die 5-FU Infusion lenken müssen. Die Neurotoxizität hätte am 14. März 2002 bereits einige BGE 134 IV 175 S. 183 Stunden vor 23 Uhr erkannt werden können. Gemäss der Vorinstanz hätte ein Absetzen auf den tödlichen Verlauf indes keinen Einfluss mehr gehabt, da zu jenem Zeitpunkt bereits ein grosser Teil der Gesamtdosis verabreicht worden war. Entgegen dem Beschwerdeführer lässt sich somit nicht beanstanden, dass die Therapie trotz Auftretens schwerer Nebenwirkungen nicht gestoppt wurde. Die Vorinstanz geht in diesem Punkt zu Recht davon aus, dass es an der Kausalität der Sorgfaltspflichtverletzung fehlt.</w:t>
      </w:r>
    </w:p>
    <w:p>
      <w:r>
        <w:rPr>
          <w:b/>
        </w:rPr>
        <w:t>E. 5.2</w:t>
      </w:r>
    </w:p>
    <w:p>
      <w:r>
        <w:t>Als weitere Todesursache zieht die Vorinstanz einen Enzymdefekt in Betracht. Bei etwa 3-5 % der Bevölkerung sei die Dihydropyrimidin Dehydrogenase (DPD) mangelhaft oder defekt. Das Fehlen dieses 5-FU abbauenden Enzyms könne zu schweren Nebenwirkungen führen. Nach der gutachterlichen Feststellung, der sich die Vorinstanz in nicht zu beanstandender Weise anschliesst, gab es keine Möglichkeit, den DPD-Mangel im Vorfeld des operativen Eingriffs in der Klinik abzuklären. Wenn aber eine bestimmte möglicherweise negative Prädisposition (DPD-Mangel) vorgängig nicht abgeklärt werden kann, so ist nicht ersichtlich, welche strafrechtliche Relevanz dieser Ursache noch zukommen soll. Wenn die Ärzte faktisch keine Diagnosemöglichkeit haben, kann Ihnen die unterlassene Diagnose strafrechtlich auch nicht zum Vorwurf gereichen. Damit bleibt als Todesursache nur noch die Verunreinigung des Medikaments übrig (dazu sogleich E. 5.3). Weil nur noch eine strafrechtliche relevante Ursache verbleibt, kann auch offenbleiben, ob bei zwei unabhängigen, sich aber gegenseitig nicht ausschliessenden Ursachen aus Kausalitätsüberlegungen zwingend einzustellen war.</w:t>
      </w:r>
    </w:p>
    <w:p>
      <w:r>
        <w:rPr>
          <w:b/>
        </w:rPr>
        <w:t>E. 5.3</w:t>
      </w:r>
    </w:p>
    <w:p>
      <w:r>
        <w:t>In Bezug auf die für den fatalen Behandlungsausgang mitursächliche Verunreinigung beanstandet der Beschwerdeführer die Einstellung zu Recht. Die Vorinstanz übernimmt die gutachterliche Einschätzung, wonach mit "überwiegender Wahrscheinlichkeit (&gt;50 %) die toxischen Abbauprodukte im B. 5-FU Präparat für den Krankheitsverlauf verantwortlich zu machen sind". Nach den vorstehenden Erläuterungen ist die Toxizität nunmehr die einzig verbleibende, strafrechtlich relevante Todesursache. Die diesbezüglichen Verantwortlichkeiten sind daher näher abzuklären. Fest steht, dass der deutsche Medikamentenhersteller - ohne darauf hinzuweisen - das Lösungsmittel Tris verwendete. Spätestens seit einer Publikation aus dem Jahr 1994 war in der Fachwelt bekannt, dass kardiotoxische Substanzen entstehen können, wenn 5-FU im BGE 134 IV 175 S. 184 Lösungsmittel Tris gelöst wird. Aus diesem Grund wurde damals ein in Tris gelöstes 5-FU Produkt des Herstellers R. in Frankreich aus dem Handel gezogen. Wer ein Krebsmedikament in Umlauf bringen will, hat sich in der einschlägigen Fachliteratur auch über mögliche Nebenwirkungen und negative Erfahrungen bei der Verwendung des Wirkstoffs zu informieren. Die Strafbarkeit der Verantwortlichen bei der Herstellerin ist daher näher zu untersuchen. Entgegen der Vorinstanz kann aber auch nicht offenbleiben, ob der zuständige Apotheker und die Zulassungsbehörden von der möglichen Toxizität wussten oder hätten wissen müssen. Auch dies ist näher abzuklären. Zum jetzigen Zeitpunkt lässt sich zusammenfassend noch nicht sagen, dass ein genügender Tatverdacht nicht zu erhärten ist. Die Bestätigung der staatsanwaltschaftlichen Einstellung erfolgte daher zu Unrecht. Die Beschwerde ist insoweit gutzuheissen und die angefochtene Verfügung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