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w:t>
      </w:r>
    </w:p>
    <w:p>
      <w:r>
        <w:t>Bundesgericht (BGE), 2007-11-12, DE</w:t>
      </w:r>
    </w:p>
    <w:p>
      <w:r>
        <w:rPr>
          <w:b/>
        </w:rPr>
        <w:t xml:space="preserve">Quelle: </w:t>
      </w:r>
      <w:r>
        <w:t>https://mcp.opencaselaw.ch/entscheid/bge_BGE_134_IV_1</w:t>
      </w:r>
    </w:p>
    <w:p>
      <w:r>
        <w:t>FR: ATF 134 IV 1</w:t>
      </w:r>
    </w:p>
    <w:p>
      <w:r>
        <w:t>IT: DTF 134 IV 1</w:t>
      </w:r>
    </w:p>
    <w:p>
      <w:pPr>
        <w:pStyle w:val="Heading2"/>
      </w:pPr>
      <w:r>
        <w:t>Regeste</w:t>
      </w:r>
    </w:p>
    <w:p>
      <w:r>
        <w:t>Regeste Bedingte und teilbedingte Strafe gemäss Art. 42 und 43 StGB; Strafenkombination gemäss Art. 42 Abs. 4 StGB. Bei Freiheitsstrafen zwischen einem und zwei Jahren ist der Strafaufschub nach Art. 42 Abs. 1 StGB die Regel, von der nur bei ungünstiger oder höchst ungewisser Prognose abgewichen werden darf (E. 4.2.2). Der teilbedingte Vollzug bildet dazu die Ausnahme. Vorgängig ist zu prüfen, ob der bedingte Strafvollzug, kombiniert mit einer Verbindungsgeldstrafe bzw. Busse (Art. 42 Abs. 4 StGB), spezialpräventiv ausreichend ist (E. 5.5.2). Bei der Strafenkombination gemäss Art. 42 Abs. 4 StGB liegt das Hauptgewicht auf der bedingten Freiheitsstrafe, während der unbedingten Verbindungsgeldstrafe bzw. Busse nur untergeordnete Bedeutung zukommt. Sie soll nicht zu einer Straferhöhung führen (E. 4.5.2). Die subjektiven Voraussetzungen von Art. 42 StGB müssen auch bei der Anwendung von Art. 43 StGB gelten (E. 5.3.1). Je günstiger die Prognose und je kleiner die Vorwerfbarkeit der Tat, desto grösser muss der auf Bewährung ausgesetzte Strafteil sein (E. 5.6).</w:t>
      </w:r>
    </w:p>
    <w:p>
      <w:r>
        <w:t>Regeste Sursis et sursis partiel à l'exécution de la peine selon les art. 42 et 43 CP; combinaison de peines prévue à l'art. 42 al. 4 CP. En cas de peine privative de liberté d'un à deux ans, le sursis prévu à l'art. 42 al. 1 CP constitue la règle à laquelle on ne peut déroger qu'en présence d'un pronostic défavorable ou hautement incertain (consid. 4.2.2). A cet égard, le sursis partiel constitue une exception. Il faut préalablement examiner si le sursis combiné avec une peine pécuniaire ou une amende (art. 42 al. 4 CP) suffit du point de vue de la prévention spéciale (consid. 5.5.2). Dans la combinaison des peines selon l'art. 42 al. 4 CP, la peine privative de liberté est prépondérante alors que la peine pécuniaire sans sursis ou l'amende sont d'une importance secondaire. Cette combinaison ne doit pas conduire à une augmentation de la peine (consid. 4.5.2). Les conditions subjectives de l'art. 42 CP sont également valables pour l'application de l'art. 43 CP (consid. 5.3.1). Plus le pronostic est favorable et plus le caractère blâmable de l'acte est limité, plus la partie suspendue de la peine doit être importante (consid. 5.6).</w:t>
      </w:r>
    </w:p>
    <w:p>
      <w:r>
        <w:t>Regesto Pene con condizionale e pene con condizionale parziale giusta gli art. 42 e 43 CP; cumulo di pene secondo l'art. 42 cpv. 4 CP. Per le pene detentive di una durata compresa tra un anno e due anni, la sospensione condizionale della pena giusta l'art. 42 CP è la regola a cui si può derogare solo in caso di prognosi sfavorevole o altamente incerta (consid. 4.2.2). La sospensione parziale dell'esecuzione della pena costituisce pertanto l'eccezione. Occorre previamente esaminare se, sotto il profilo della prevenzione speciale, sia sufficiente pronunciare una pena con la condizionale unitamente a una pena pecuniaria oppure a una multa (art. 42 cpv. 4 CP; consid. 5.5.2). In caso di cumulo di pene secondo l'art. 42 cpv. 4 CP, la pena detentiva sospesa condizionalmente riveste un'importanza notevole, mentre la pena pecuniaria senza condizionale rispettivamente la multa solo secondaria. Dalla combinazione delle diverse pene non deve risultare un aggravamento della pena (consid. 4.5.2). Le condizioni soggettive dell'art. 42 CP devono valere anche per l'applicazione dell'art. 43 CP (consid. 5.3.1). Quanto più favorevole è la prognosi e lieve l'aspetto riprensibile del reato, tanto più grande dev'essere la parte della pena sospesa con la condizionale (consid. 5.6).</w:t>
      </w:r>
    </w:p>
    <w:p>
      <w:pPr>
        <w:pStyle w:val="Heading2"/>
      </w:pPr>
      <w:r>
        <w:t>Erwägungen</w:t>
      </w:r>
    </w:p>
    <w:p>
      <w:r>
        <w:rPr>
          <w:b/>
        </w:rPr>
        <w:t>E. 2</w:t>
      </w:r>
    </w:p>
    <w:p>
      <w:r>
        <w:t>Die Beschwerdeführerin wendet sich ausschliesslich gegen die Strafzumessung.</w:t>
      </w:r>
    </w:p>
    <w:p>
      <w:r>
        <w:rPr>
          <w:b/>
        </w:rPr>
        <w:t>E. 2.1</w:t>
      </w:r>
    </w:p>
    <w:p>
      <w:r>
        <w:t>Die Vorinstanz hat erwogen, in Gesamtwürdigung der Tat- und Täterkomponenten sei von einem schweren Verschulden des Beschwerdegegners auszugehen. In Bestätigung des erstinstanzlichen Urteils erscheine deshalb - wenngleich am oberen Rand liegend - eine Freiheitsstrafe von zwei Jahren als grundsätzlich angemessen. Da beim Beschwerdegegner keine Anzeichen ersichtlich seien, welche die Vermutung der günstigen Prognose im Sinne von Art. 42 Abs. 1 StGB widerlegen würden, sei der bedingte Strafvollzug zu gewähren. Die alleinige Verhängung einer bedingten Freiheitsstrafe werde jedoch dem schweren Verschulden des Beschwerdegegners nicht gerecht. In Anbetracht aller wesentlichen Umstände des konkreten Falls, so insbesondere des fortgeschrittenen Alters (Jahrgang 1941) und der angeschlagenen Gesundheit des Beschwerdegegners, seines guten Leumunds und der fehlenden Rückfallgefahr, sei es sinnvoller, die bedingte Freiheitsstrafe gestützt auf Art. 42 Abs. 4 StGB mit einer unbedingten Geldstrafe zu verbinden, statt den Vollzug der Freiheitsstrafe gemäss Art. 43 StGB nur teilweise aufzuschieben. Dem schweren Verschulden des Beschwerdegegners BGE 134 IV 1 S. 4 entsprechend erscheine es geboten, einen Viertel der grundsätzlich als angemessen qualifizierten Freiheitsstrafe von zwei Jahren in die Form der unbedingten Geldstrafe zu kleiden. Im Ergebnis sei der Beschwerdegegner zu 18 Monaten Freiheitsstrafe, bedingt vollziehbar bei einer Probezeit von zwei Jahren, sowie zu einer Geldstrafe von 180 Tagessätzen à Fr. 130.- (insgesamt Fr. 23'400.-) zu verurteilen.</w:t>
      </w:r>
    </w:p>
    <w:p>
      <w:r>
        <w:rPr>
          <w:b/>
        </w:rPr>
        <w:t>E. 2.2</w:t>
      </w:r>
    </w:p>
    <w:p>
      <w:r>
        <w:t>Die Beschwerdeführerin macht geltend, die Aufteilung einer als angemessen erachteten Freiheitsstrafe von zwei Jahren in eine Geld- und Freiheitsstrafe verletze Bundesrecht. Art. 42 Abs. 4 StGB sei so auszulegen, dass eine Geldstrafe nur zusätzlich zu einer Freiheitsstrafe ausgesprochen werden könne. Eine Geldstrafe könne nicht Bestandteil der Freiheitsstrafe sein, da es sich um zwei unterschiedliche Sanktionsarten handle. Der Umrechnungsschlüssel von Art. 36 Abs. 1 Satz 2 StGB , wonach ein Tagessatz Geldstrafe einem Tag Freiheitsstrafe entspricht, könne nur dort gelten, wo die kurze Freiheitsstrafe nicht möglich sei, d.h. im Bagatellbereich. Der Gesetzgeber habe nicht die Absicht verfolgt, mehrjährige Freiheitsstrafen auch nur teilweise mit Geldstrafen zu ersetzen. Insbesondere könne es nicht dem Sinn und Zweck der Regelung entsprechen, mit der Geldstrafe gewissermassen den Strafrahmen der Freiheitsstrafe einzuschränken. Aufgrund des schweren Verschuldens des Beschwerdegegners sei vorliegend eine teilbedingte Strafe auszusprechen.</w:t>
      </w:r>
    </w:p>
    <w:p>
      <w:r>
        <w:rPr>
          <w:b/>
        </w:rPr>
        <w:t>E. 3</w:t>
      </w:r>
    </w:p>
    <w:p>
      <w:r>
        <w:t>Am 1. Januar 2007 ist die Revision des Allgemeinen Teils des Strafgesetzbuches in Kraft getreten. Sie brachte eine grundlegende Neuordnung des Sanktionensystems (Botschaft des Bundesrates zur Änderung des Schweizerischen Strafgesetzbuches vom 21. September 1998 [im Folgenden: Botschaft 1998]; BBl 1999 S. 1984). Zentrales Anliegen der Revision war das Zurückdrängen der kurzen Freiheitsstrafe, die Einführung alternativer Sanktionen wie der Geldstrafe oder der gemeinnützigen Arbeit als eigenständige Sanktionsform sowie die Ausdehnung des bedingten Strafvollzuges (Botschaft 1998, S. 2017 ff., 2024 ff., 2032 ff., 2048 ff.). Daneben wurde die sog. teilbedingte Strafe als Mittellösung zwischen dem vollständigen Aufschub der Strafe und deren Vollzug eingeführt.</w:t>
      </w:r>
    </w:p>
    <w:p>
      <w:r>
        <w:rPr>
          <w:b/>
        </w:rPr>
        <w:t>E. 4.1</w:t>
      </w:r>
    </w:p>
    <w:p>
      <w:r>
        <w:t>Art. 42 StGB ("bedingte Strafen") regelt die Gewährung des bedingten Strafvollzuges: Das Gericht schiebt den Vollzug einer Freiheitsstrafe von mindestens sechs Monaten und höchstens zwei BGE 134 IV 1 S. 5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4.2</w:t>
      </w:r>
    </w:p>
    <w:p>
      <w:r>
        <w:t>In subjektiver Hinsicht hat das Gericht für die Gewährung des bedingten Strafvollzuges wie bisher eine Prognose über das zukünftige Verhalten des Täters zu stellen.</w:t>
      </w:r>
    </w:p>
    <w:p>
      <w:r>
        <w:rPr>
          <w:b/>
        </w:rPr>
        <w:t>E. 4.2.1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BGE 118 IV 97 E. 2b).</w:t>
      </w:r>
    </w:p>
    <w:p>
      <w:r>
        <w:rPr>
          <w:b/>
        </w:rPr>
        <w:t>E. 4.2.2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(Art. 41 Ziff. 1 aStGB).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 Nach Art. 42 Abs. 1 StGB hat das Gericht neu den Vollzug der Strafe in der Regel aufzuschieben, "wenn eine unbedingte Strafe nicht BGE 134 IV 1 S. 6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1998,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1998, S. 2049; GÜNTER STRATENWERTH, Schweizerisches Strafrecht, Allgemeiner Teil II, 2. Aufl., Bern 2006, § 5 Rz. 38 S. 139).</w:t>
      </w:r>
    </w:p>
    <w:p>
      <w:r>
        <w:rPr>
          <w:b/>
        </w:rPr>
        <w:t>E. 4.2.3</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1998, S. 2050). Bei Art. 42 Abs. 2 StGB gilt demnach die Vermutung einer günstigen Prognose bzw. des Fehlens einer ungünstigen Prognose nicht. Vielmehr kommt der früheren Verurteilung zunächst die Bedeutung eines Indizes für die Befürchtung zu, dass der Täter BGE 134 IV 1 S. 7 weitere Straftaten begehen könnte (STRATENWERTH, Schweizerisches Strafrecht,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(ähnlich: GREINER, a.a.O., S. 101). Das trifft etwa zu, wenn die neuerliche Straftat mit der früheren Verurteilung in keinerlei Zusammenhang steht, oder bei einer besonders positiven Veränderung in den Lebensumständen des Täters (Botschaft 1998, S. 2050; GREINER, a.a.O., S. 101; STRATENWERTH, a.a.O., § 5 Rz. 42 S. 141). Jedenfalls ist bei eindeutig günstiger Prognose der Strafaufschub stets zu gewähren (vgl. STRATENWERTH, a.a.O., § 5 Rz. 42 S. 141). Die Vorschrift von Art. 42 Abs. 2 StGB stellt klar, dass der Rückfall für sich genommen den bedingten Strafvollzug nicht auszuschliessen vermag, im Gegensatz zum früheren Recht (Art. 41 Ziff. 1 Abs. 2 aStGB).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4.2.4</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4.3</w:t>
      </w:r>
    </w:p>
    <w:p>
      <w:r>
        <w:t>In objektiver Hinsicht setzt der Aufschub einer Freiheitsstrafe einzig eine Untergrenze (mindestens sechs Monate) und eine Obergrenze (höchstens zwei Jahre) voraus, womit die BGE 134 IV 1 S. 8 Zulässigkeitsschranke des bedingten Strafvollzuges von bisher 18 Monaten angehoben wurde.</w:t>
      </w:r>
    </w:p>
    <w:p>
      <w:r>
        <w:rPr>
          <w:b/>
        </w:rPr>
        <w:t>E. 4.4</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1998, S. 2048, 2052).</w:t>
      </w:r>
    </w:p>
    <w:p>
      <w:r>
        <w:rPr>
          <w:b/>
        </w:rPr>
        <w:t>E. 4.5.1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[im Folgenden: Botschaft 2005]; BBl 2005 S. 4689, 4695, 4699 ff.). Insoweit, also im Bereich der leichten Kriminalität, übernimmt sie auch Aufgaben der Generalprävention.</w:t>
      </w:r>
    </w:p>
    <w:p>
      <w:r>
        <w:rPr>
          <w:b/>
        </w:rPr>
        <w:t>E. 4.5.2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 BGE 134 IV 1 S. 9</w:t>
      </w:r>
    </w:p>
    <w:p>
      <w:r>
        <w:rPr>
          <w:b/>
        </w:rPr>
        <w:t>E. 5.1</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5.2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1998, S. 2052 f.). 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Cina, Leuthard und de Dardel, AB 2001 N 561 f.; zum Zusammenhang: KARL-LUDWIG KUNZ, Zur Neugestaltung der Sanktionen des Schweizerischen BGE 134 IV 1 S. 10 Erwachsenenstrafrechtes, ZStrR 117/1999 S. 248; ANDRÉ KUHN, Le sursis et le sursis partiel selon le nouveau Code pénal, ZStrR 121/2003 S. 273). 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1998, S. 2309). Im Auftrag der Rechtskommission des Ständerates erarbeitete die Verwaltung in der Folge einen Vorschlag zum sursis partiel ,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Brigitte Tag/ Max Hauri [Hrsg.], Zürich 2006, S. 90 f.).</w:t>
      </w:r>
    </w:p>
    <w:p>
      <w:r>
        <w:rPr>
          <w:b/>
        </w:rPr>
        <w:t>E. 5.3.1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 BGE 134 IV 1 S. 11</w:t>
      </w:r>
    </w:p>
    <w:p>
      <w:r>
        <w:rPr>
          <w:b/>
        </w:rPr>
        <w:t>E. 5.3.2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5.3.3</w:t>
      </w:r>
    </w:p>
    <w:p>
      <w:r>
        <w:t>Die Voraussetzung, dass eine teilbedingte Strafe nach Art. 43 StGB notwendig ist, um dem Verschulden des Täters genügend Rechnung zu tragen, d.h. in angemessener Weise (so der französische Wortlaut: de façon appropriée ),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5.4</w:t>
      </w:r>
    </w:p>
    <w:p>
      <w:r>
        <w:t>Zu klären ist, ob für Freiheitsstrafen bis zwei Jahre (im überschneidenden Anwendungsbereich von Art. 42/43 StGB) eine BGE 134 IV 1 S. 12 ähnliche Verknüpfung im Hinblick auf anerkannte Strafzwecke zu erfolgen hat.</w:t>
      </w:r>
    </w:p>
    <w:p>
      <w:r>
        <w:rPr>
          <w:b/>
        </w:rPr>
        <w:t>E. 5.4.1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andere Kriterium stärker hervortritt ( BGE 124 IV 246 E. 2b S. 248; BGE 120 IV 1 E. 2b S. 4, je mit Hinweisen).</w:t>
      </w:r>
    </w:p>
    <w:p>
      <w:r>
        <w:rPr>
          <w:b/>
        </w:rPr>
        <w:t>E. 5.4.2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leistet (zum Ganzen MARKUS HANS KNÜSEL, Die teilbedingte Freiheitsstrafe, Diss. Bern 1995, S. 92, 124, 175 ff. und passim). BGE 134 IV 1 S. 13</w:t>
      </w:r>
    </w:p>
    <w:p>
      <w:r>
        <w:rPr>
          <w:b/>
        </w:rPr>
        <w:t>E. 5.4.3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5 Rz. 50 S. 144; vgl. aber ders ., Die Wahl der Sanktionen, insbesondere nach revidiertem AT StGB, in: Strafjustiz und Rechtsstaat, Marcel Alexander Niggli/Nicolas Queloz [Hrsg.],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werden dürfte. Der Strafzweck des Schuldausgleichs (das Vergeltungsprinzip) besagt denn auch nur, dass die Strafe der Grösse der Schuld entsprechen soll, was eine drastische Bestrafung des Täters bei geringem Verschulden verbietet (CLAUS ROXIN, Strafrecht, Allgemeiner Teil, Bd. I, 4. Aufl., München 2006, § 3 Rz. 2 ff., insbes. Rz.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 Ebenso wenig kann massgebend sein, ob die teilweise Vollstreckung der Strafe unter generalpräventiven Gesichtspunkten als geboten erscheint, um andere von der Begehung von Verbrechen oder Vergehen abzuhalten. Eine solche Vorbehaltsklausel, wie sie das BGE 134 IV 1 S. 14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5.5</w:t>
      </w:r>
    </w:p>
    <w:p>
      <w:r>
        <w:t>Nach den dargelegten Grundsätzen ist der Anwendungsbereich der teilbedingten Freiheitsstrafen im Sinne von Art. 43 StGB zu konkretisieren.</w:t>
      </w:r>
    </w:p>
    <w:p>
      <w:r>
        <w:rPr>
          <w:b/>
        </w:rPr>
        <w:t>E. 5.5.1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Brigitte Tag/Max Hauri [Hrsg.], Zürich 2006, S. 131).</w:t>
      </w:r>
    </w:p>
    <w:p>
      <w:r>
        <w:rPr>
          <w:b/>
        </w:rPr>
        <w:t>E. 5.5.2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Frank Höpfel/Eckart Ratz [Hrsg.], 2. Aufl., Wien 2003, N. 11 zu § 43a Abs. 3). Damit verhält es sich BGE 134 IV 1 S. 15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5.6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6</w:t>
      </w:r>
    </w:p>
    <w:p>
      <w:r>
        <w:t>Im zu beurteilenden Fall stellt sich die Rechtslage wie folgt dar:</w:t>
      </w:r>
    </w:p>
    <w:p>
      <w:r>
        <w:rPr>
          <w:b/>
        </w:rPr>
        <w:t>E. 6.1</w:t>
      </w:r>
    </w:p>
    <w:p>
      <w:r>
        <w:t>Wie dargelegt bildet der teilbedingte Vollzug bei Freiheitsstrafen im überschneidenden Anwendungsbereich von Art. 42/43 StGB BGE 134 IV 1 S. 16 die Ausnahme, welche nur Anwendung findet, wenn der Aufschub wenigstens eines Teils der Strafe aus spezialpräventiver Sicht erfordert, dass der andere Strafteil unbedingt ausgesprochen wird. Insbesondere in Anbetracht der Tatsache, dass der Beschwerdegegner nicht vorbestraft ist, bestehen vorliegend keine ganz erheblichen Bedenken an dessen Legalbewährung, so dass der teilweise Vollzug der Freiheitsstrafe für die Erhöhung der Bewährungsaussichten nicht unumgänglich erscheint. Vielmehr ist entgegen der Auffassung der Beschwerdeführerin im zu beurteilenden Fall die Gewährung des bedingten Strafvollzugs - allenfalls in Kombination mit einer Verbindungsgeldstrafe bzw. Busse ( Art. 42 Abs. 4 StGB ) - spezialpräventiv ausreichend.</w:t>
      </w:r>
    </w:p>
    <w:p>
      <w:r>
        <w:rPr>
          <w:b/>
        </w:rPr>
        <w:t>E. 6.2</w:t>
      </w:r>
    </w:p>
    <w:p>
      <w:r>
        <w:t>Allerdings hat, wie ausgeführt, bei der Strafenkombination nach Art. 42 Abs. 4 StGB das Hauptgewicht auf der bedingten Freiheitsstrafe zu liegen, während der unbedingten Verbindungsgeldstrafe bzw. Busse nur untergeordnete Bedeutung zukommt. Mit der Verhängung einer unbedingten Geldstrafe in der Höhe von 180 Tagessätzen bzw. eines Viertels der schuldangemessenen Gesamtstrafe hat die Vorinstanz jedoch der Verbindungsstrafe einen zu gewichtigen Stellenwert eingeräumt und damit Art. 42 Abs. 4 StGB unrichtig angewendet.</w:t>
      </w:r>
    </w:p>
    <w:p>
      <w:r>
        <w:rPr>
          <w:b/>
        </w:rPr>
        <w:t>E. 6.3</w:t>
      </w:r>
    </w:p>
    <w:p>
      <w:r>
        <w:t>Im Ergebnis ist die Beschwerde deshalb gutzuheissen und das angefochtene Urteil aufzuheben. Bei ihrer Neubeurteilung wird die Vorinstanz auf der Grundlage der vom Bundesgericht entwickelten Kriterien zu prüfen haben, ob es dem Verschulden entspricht, den Beschwerdegegner zu einer bedingt vollziehbaren Freiheitsstrafe von 24 Monaten zu verurteilen, oder ob es angemessener erscheint, in Anwendung von Art. 42 Abs. 4 StGB eine Freiheitsstrafe von weniger als 24 Monaten, verbunden mit einer (untergeordneten) unbedingten Geldstrafe oder Busse auszusprechen. Dabei muss es sich insgesamt um die dem Verschulden entsprechende Sanktion handeln.</w:t>
      </w:r>
    </w:p>
    <w:p>
      <w:r>
        <w:rPr>
          <w:b/>
        </w:rPr>
        <w:t>E. 6.4</w:t>
      </w:r>
    </w:p>
    <w:p>
      <w:r>
        <w:t>Dem Beschwerdegegner, der eventualiter die Gutheissung der Beschwerde beantragt hat, sind keine Kosten aufzuerlegen.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