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33</w:t>
      </w:r>
    </w:p>
    <w:p>
      <w:r>
        <w:t>Bundesgericht (BGE), 2007-11-30, DE</w:t>
      </w:r>
    </w:p>
    <w:p>
      <w:r>
        <w:rPr>
          <w:b/>
        </w:rPr>
        <w:t xml:space="preserve">Quelle: </w:t>
      </w:r>
      <w:r>
        <w:t>https://mcp.opencaselaw.ch/entscheid/bge_BGE_134_II_33</w:t>
      </w:r>
    </w:p>
    <w:p>
      <w:r>
        <w:t>FR: ATF 134 II 33</w:t>
      </w:r>
    </w:p>
    <w:p>
      <w:r>
        <w:t>IT: DTF 134 II 33</w:t>
      </w:r>
    </w:p>
    <w:p>
      <w:pPr>
        <w:pStyle w:val="Heading2"/>
      </w:pPr>
      <w:r>
        <w:t>Regeste</w:t>
      </w:r>
    </w:p>
    <w:p>
      <w:r>
        <w:t>Regeste Art. 2 Abs. 1 OHG; opferhilferechtlicher Begriff der Straftat. Der Begriff der Straftat im Sinn von Art. 2 Abs. 1 OHG setzt nicht nur die Verwirklichung eines objektiven Straftatbestandes, sondern auch vorsätzliches oder fahrlässiges Handeln voraus (Bestätigung der Rechtsprechung). Der Anwendungsfall betrifft einen Sachverhaltsirrtum (E. 5).</w:t>
      </w:r>
    </w:p>
    <w:p>
      <w:r>
        <w:t>Regeste Art. 2 al. 1 LAVI; notion d'infraction selon la LAVI. La notion d'infraction au sens de l'art. 2 al. 1 LAVI suppose non seulement la réalisation des éléments constitutifs objectifs de l'infraction, mais elle implique également que l'auteur ait agit intentionnellement ou par négligence (confirmation de la jurisprudence). Le cas d'espèce concerne une erreur sur les faits (consid. 5).</w:t>
      </w:r>
    </w:p>
    <w:p>
      <w:r>
        <w:t>Regesto Art. 2 cpv. 1 LAV; nozione di reato secondo la LAV. La nozione di reato ai sensi dell'art. 2 cpv. 1 LAV presuppone non soltanto la realizzazione della fattispecie oggettiva del reato, ma implica pure un agire intenzionale o negligente da parte dell'autore (conferma della giurisprudenza). Il caso di specie concerne un errore sui fatti (consid. 5).</w:t>
      </w:r>
    </w:p>
    <w:p>
      <w:pPr>
        <w:pStyle w:val="Heading2"/>
      </w:pPr>
      <w:r>
        <w:t>Erwägungen</w:t>
      </w:r>
    </w:p>
    <w:p>
      <w:r>
        <w:rPr>
          <w:b/>
        </w:rPr>
        <w:t>E. 5.1</w:t>
      </w:r>
    </w:p>
    <w:p>
      <w:r>
        <w:t>Weiter macht der Beschwerdeführer geltend, der Sachverhaltsirrtum der Polizeibeamten, welche sich in der Person des zu Verhaftenden geirrt hätten, sei aus dem Blickwinkel des Opferhilferechts nicht beachtlich. BGE 134 II 33 S. 35</w:t>
      </w:r>
    </w:p>
    <w:p>
      <w:r>
        <w:rPr>
          <w:b/>
        </w:rPr>
        <w:t>E. 5.2</w:t>
      </w:r>
    </w:p>
    <w:p>
      <w:r>
        <w:t>In seiner Vernehmlassung äussert sich das Bundesamt für Justiz dahingehend, dass gemäss herrschender Rechtslehre die Opfereigenschaft zu verneinen sei, wenn für die inkriminierte Handlung ein Rechtfertigungsgrund vorliege. Allerdings könne man sich fragen, ob mit Blick auf den Zweck des Opferhilfegesetzes im Falle eines Sachverhaltsirrtums dennoch von einer Straftat auszugehen sei, wenn andernfalls ein stossendes Ergebnis resultiere.</w:t>
      </w:r>
    </w:p>
    <w:p>
      <w:r>
        <w:rPr>
          <w:b/>
        </w:rPr>
        <w:t>E. 5.3</w:t>
      </w:r>
    </w:p>
    <w:p>
      <w:r>
        <w:t>Beim Sachverhaltsirrtum handelt es sich um einen Vorsatzmangel (vgl. GUIDO JENNY, in: Alexander Niggli/Hans Wiprächtiger [Hrsg.], Basler Kommentar, Strafgesetzbuch I, Rz. 8 zu Art. 19 aStGB). Dieser ist in Art. 19 des zur Zeit der zu beurteilenden Handlungen der Polizeibeamten in Kraft stehenden Fassung des StGB (gleichermassen in Art. 13 des am 1. Januar 2007 in Kraft getretenen Allgemeinen Teils des Strafgesetzbuches) folgendermassen normiert: Handelt der Täter in einer irrigen Vorstellung über den Sachverhalt, so beurteilt der Richter die Tat zugunsten des Täters nach dem Sachverhalt, den sich der Täter vorgestellt hat (Art. 19 Abs. 1 aStGB, Art. 13 Abs. 1 StGB ). Hätte der Täter den Irrtum bei pflichtgemässer Vorsicht vermeiden können, so ist er wegen Fahrlässigkeit strafbar, wenn die fahrlässige Verübung der Tat mit Strafe bedroht ist (Art. 19 Abs. 2 aStGB, Art. 13 Abs. 2 StGB ). Dem Sachverhaltsirrtum gleichgestellt ist der Fall, dass der Täter irrigerweise einen Sachverhalt für gegeben hält, der, läge er wirklich vor, sein Verhalten als gerechtfertigt erscheinen liesse (Putativrechtfertigung). Zwar handelt der Täter in dieser Konstellation nicht ohne tatbestandsmässigen Verwirklichungswillen. Jedoch richtet sich der Wille des Täters nicht auf die Verwirklichung von Unrecht, sondern auf die Ausübung eines Rechts, so dass es im Ergebnis gleich wie beim Sachverhaltsirrtum an dem für vorsätzliches Verhalten charakteristischen Handlungsunwert fehlt. Der Täter haftet aber für fahrlässige Begehung, wenn er den Irrtum bei pflichtgemässer Sorgfalt hätte vermeiden können und eine entsprechende Strafdrohung besteht (vgl. BGE 129 IV 6 E. 3.2 S. 14; BGE 125 IV 49 E. 2e S. 56 ff.; BGE 123 IV 97 E. 2c S. 98 f.; BGE 106 IV 1 E. 2a S. 3; BGE 102 IV 65 E. 2 S. 67 f.; JENNY, a.a.O., Rz. 12 zu Art. 19 aStGB; GÜNTER STRATENWERTH/WOLFGANG WOHLERS, Schweizerisches Strafgesetzbuch - Handkommentar, Bern 2007, Rz. 4 zu Art. 13 StGB ; KURT SEELMANN, Strafrecht - Allgemeiner Teil, 2. Aufl., Basel/ Genf/München 2005, S. 80 f.; ANDREAS DONATSCH/BRIGITTE TAG, Strafrecht I - Verbrechenslehre, 8. Aufl., Zürich 2006, S. 214 f.). BGE 134 II 33 S. 36 Demnach wären die Polizeibeamten im vorliegenden Fall wegen fahrlässiger Körperverletzung zu bestrafen gewesen, wenn sie bei pflichtgemässer Vorsicht hätten erkennen können, dass es sich beim Beschwerdeführer nicht um den gesuchten Drogenhändler handelte. Dass den Polizeibeamten diesbezüglich eine pflichtwidrige Unvorsichtigkeit angelastet werden könnte, geht aus dem Beschluss des Obergerichts vom 24. März 2004 jedoch nicht hervor und wurde vom Beschwerdeführer auch nicht geltend gemacht. Das Sozialversicherungsgericht schloss sich dem vom Obergericht vertretenen Standpunkt an, dass die Polizeibeamten einerseits im Sinne eines Sachverhaltsirrtums glaubten, in Ausübung ihrer Amtspflicht zu handeln, und andererseits - unter Berücksichtigung dieses Irrtums - gesetzmässig und verhältnismässig vorgegangen seien. Somit sei ein Rechtfertigungsgrund für die physische Beeinträchtigung des Beschwerdeführers gegeben. Eine Straftat liege nicht vor, weshalb dem Beschwerdeführer keine Opferstellung zukomme. Es stellt sich vorliegend die Frage, ob trotz mangelnder Fahrlässigkeit der Polizeibeamten bezüglich ihres Irrtums über die Person des zu Verhaftenden und über den fehlenden Rechtfertigungsgrund für ihr Handeln entgegen der Auffassung des Sozialversicherungsgerichts unter opferhilferechtlichen Gesichtspunkten die Opferstellung des Beschwerdeführers bejaht werden muss.</w:t>
      </w:r>
    </w:p>
    <w:p>
      <w:r>
        <w:rPr>
          <w:b/>
        </w:rPr>
        <w:t>E. 5.4</w:t>
      </w:r>
    </w:p>
    <w:p>
      <w:r>
        <w:t>Jede Person, die durch eine Straftat in ihrer körperlichen, sexuellen oder psychischen Integrität unmittelbar beeinträchtigt worden ist (Opfer), erhält Hilfe nach dem Opferhilfegesetz, und zwar unabhängig davon, ob der Täter ermittelt worden ist und ob er sich schuldhaft verhalten hat ( Art. 2 Abs. 1 OHG [SR 312.5]). Entgegen den Ausführungen des Beschwerdeführers ist der Begriff der Straftat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 BGE 122 II 211 E. 3b S. 215). Das Bundesgericht legte in den Entscheiden BGE 122 II 315 (E. 3c S. 320) und BGE 122 II 211 (E. 3b S. 215) dar, dass die Körperverletzung oder Tötung für die Begründung der Opferstellung nicht genügt, sondern diese mindestens fahrlässig begangen worden sein muss. In nachfolgenden Entscheiden vertiefte und bestätigte das BGE 134 II 33 S. 37 Bundesgericht diese Rechtsprechung. Im Urteil 1A.52/2000 vom 24. November 2000 (E. 2f) führte es dazu Folgendes aus: Nach dem aktuellen Stand von Rechtsprechung und Lehre werden Vorsatz und Fahrlässigkeit nicht mehr als Schuldformen betrachtet, sondern zum typischerweise rechtswidrigen Verhalten, d.h. zum subjektiven Tatbestand gezählt. Der Wortlaut von Art. 2 Abs. 1 OHG spricht daher dafür, auch den subjektiven Tatbestand einer Straftat zu verlangen, und nur vom Erfordernis der Schuld abzusehen. Für diese Auslegung spricht auch der Zusammenhang mit den Bestimmungen über die opferhilferechtliche Entschädigungs- und Genugtuungsleistung ( Art. 11 ff. OHG ). Liesse man auch in diesem Zusammenhang das Vorliegen des objektiven Tatbestands einer Straftat genügen, würde dies im Ergebnis die Einführung einer allgemeinen (nicht nur auf die Fälle der Unzurechnungsfähigkeit des Täters beschränkten) Kausalhaftung bedeuten. Der Zweck des Opferhilfegesetzes, den Opfern von Straftaten wirksame Hilfe zu leisten, spricht zumindest nicht gegen das Abstellen auf den subjektiven Tatbestand, selbst wenn der Nachweis des Vorsatzes oder der Fahrlässigkeit des Täters manchmal Schwierigkeiten bereitet. Für die Wahrnehmung der prozessualen Rechte des Opfers im Strafverfahren wie auch für die Gewährung von Soforthilfe genügt es, wenn eine die Opferstellung begründende Straftat in Betracht fällt. Dies wird regelmässig zu bejahen sein, wenn der objektive Tatbestand einer Straftat realisiert ist. Erst wenn feststeht, dass der angebliche Täter den subjektiven Tatbestand der betreffenden Straftat nicht erfüllt hat, kann dem Verletzten die Opferstellung für die Zukunft aberkannt werden, wobei die bereits geleistete Hilfe grundsätzlich nicht zurückgefordert werden kann. Schliesslich ist die Entstehungsgeschichte des Opferhilfegesetzes zu berücksichtigen: In seiner Botschaft vom 6. Juli 1983 zur Volksinitiative "zur Entschädigung der Opfer von Gewaltverbrechen" rechtfertigte der Bundesrat den Einbezug von Opfern fahrlässig begangener Delikte mit dem Argument, die Folgen von vorsätzlichem und fahrlässigem Verhalten seien für das Opfer dieselben; zudem könne eine Beschränkung auf vorsätzliche Straftaten zu Abgrenzungsproblemen und zu Schwierigkeiten führen, wenn z.B. der Täter unbekannt oder flüchtig sei (BBl 1983 III 894). Gewollt war damit eine Ausdehnung des Geltungsbereichs der Opferhilfe auch auf fahrlässig begangene Straftaten, nicht dagegen eine vollständige Aufgabe des subjektiven Tatbestands. Es ist somit daran festzuhalten, dass der Begriff der Straftat im Sinne von Art. 2 Abs. 1 OHG nicht BGE 134 II 33 S. 38 nur die Verwirklichung eines objektiven Straftatbestandes, sondern auch vorsätzliches oder fahrlässiges Handeln voraussetzt (vgl. in diesem Sinn auch das Urteil des Bundesgerichts 1A.206/1999 vom 10. Februar 2000, E. 2). Im vorliegenden Fall steht eine Körperverletzung zur Diskussion, welche die Polizeibeamten dem Beschwerdeführer im Zuge der Festnahme zufügten. Wie oben dargelegt (E. 5.3) irrten sich die Beamten in der Person des zu Verhaftenden und dementsprechend im Vorliegen des Rechtfertigungsgrundes der Amtspflicht nicht aus pflichtwidriger Unvorsichtigkeit. Infolgedessen konnte ihnen der Übergriff nicht als fahrlässig begangene Körperverletzung strafrechtlich zur Last gelegt werden (Art. 19 Abs. 2 aStGB e contrario). Da vorliegend somit nur der objektive, nicht aber der subjektive Tatbestand des Körperverletzungsdelikts erfüllt war, liegt keine Straftat im Sinne von Art. 2 Abs. 1 OHG vor und ist die Opfereigenschaft des Beschwerdeführers zu verneinen.</w:t>
      </w:r>
    </w:p>
    <w:p>
      <w:r>
        <w:rPr>
          <w:b/>
        </w:rPr>
        <w:t>E. 5.5</w:t>
      </w:r>
    </w:p>
    <w:p>
      <w:r>
        <w:t>Von dieser Rechtsprechung abzuweichen, besteht kein Anlass. Im revidierten Opferhilfegesetz vom 23. März 2007 (BBl 2007 S. 2299; Ablauf der Referendumsfrist am 12. Juli 2007) wurde der Begriff des Opfers als Grundsatz unverändert übernommen (vgl. die Botschaft vom 27. Dezember 2005 zur Totalrevision des Bundesgesetzes über die Hilfe an Opfer von Straftaten, BBl 2005 S. 7203). Gemäss Art. 1 Abs. 1 des noch nicht in Kraft stehenden revidierten OHG hat jede Person, die durch eine Straftat in ihrer körperlichen, psychischen oder sexuellen Integrität unmittelbar beeinträchtigt worden ist (Opfer), Anspruch auf Unterstützung nach diesem Gesetz (Opferhilfe). Art. 1 Abs. 3 des revidierten OHG bestimmt, dass der Anspruch auf Opferhilfe unabhängig davon besteht, ob der Täter oder die Täterin ermittelt worden ist (lit. a), sich schuldhaft verhalten hat (lit. b) oder vorsätzlich oder fahrlässig gehandelt hat (lit. c). Neu ist die ausdrückliche Erwähnung im Gesetzestext, dass es für die Opferqualifikation nicht darauf ankommt, ob auf der subjektiven Tatbestandsseite Vorsatz oder Fahrlässigkeit vorliegt. Dem Wortlaut von Art. 1 des revidierten OHG ist indessen nicht zu entnehmen, dass der Begriff der Straftat als objektiv und subjektiv tatbestandsmässiges, rechtswidriges Verhalten eine Veränderung erfahren hätte. Auch die Materialien zum neuen OHG lassen nicht auf einen Verzicht auf die Erfüllung des subjektiven Tatbestandes schliessen. Im Gegenteil wurde Art. 1 des revidierten OHG redaktionell auf die heute herrschende Lehre und Rechtsprechung abgestimmt, wonach Vorsatz BGE 134 II 33 S. 39 und Fahrlässigkeit nicht im Rahmen des Verschuldens zu prüfen, sondern als subjektive Tatbestandselemente zu würdigen sind (BBl 2005 S. 7203 f.).</w:t>
      </w:r>
    </w:p>
    <w:p>
      <w:r>
        <w:rPr>
          <w:b/>
        </w:rPr>
        <w:t>E. 5.6</w:t>
      </w:r>
    </w:p>
    <w:p>
      <w:r>
        <w:t>Nach dem Gesagten liegt keine Straftat im Sinne des Opferhilfegesetzes vor und ist die Voraussetzung der Opfereigenschaft zur Geltendmachung opferhilferechtlicher Ansprüche somit nicht erfüllt. Dies betrifft nicht nur die Entschädigungs- und Genugtuungsansprüche gemäss Art. 11 ff. OHG , sondern auch die erst vor dem Sozialversicherungsgericht gestellten Begehren um Sofort- und weitere Hilfe der kantonalen Opferhilfestelle im Sinn von Art. 3 Abs. 2 bis 4 OHG. Hilfeleistungen der Opferberatungsstelle kämen nur in Frage, solange das Vorliegen einer Straftat nicht geklärt ist ( BGE 125 II 265 E. 2c/aa S. 270). Die Beschwerde erweist sich in diesem Punkt als unbegründet und ist insoweit abzuweisen.</w:t>
      </w:r>
    </w:p>
    <w:p>
      <w:r>
        <w:rPr>
          <w:b/>
        </w:rPr>
        <w:t>E. 5.7</w:t>
      </w:r>
    </w:p>
    <w:p>
      <w:r>
        <w:t>Wie (...) erwähnt, entspringt das Opferhilfegesetz nicht dem Gedanken der Staatshaftung, sondern der Hilfeleistung an Opfer von Straftaten. Eine andere Frage ist, ob der Kanton Zürich gestützt auf das kantonale Staatshaftungsrecht für das Handeln seiner Beamten (kausal) einzustehen hat. Diese Frage gehört indessen nicht zum vorliegenden Verfahrensgegenstand, weshalb sie offengelassen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