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25</w:t>
      </w:r>
    </w:p>
    <w:p>
      <w:r>
        <w:t>Bundesgericht (BGE), 2007-10-18, FR</w:t>
      </w:r>
    </w:p>
    <w:p>
      <w:r>
        <w:rPr>
          <w:b/>
        </w:rPr>
        <w:t xml:space="preserve">Quelle: </w:t>
      </w:r>
      <w:r>
        <w:t>https://mcp.opencaselaw.ch/entscheid/bge_BGE_134_II_25</w:t>
      </w:r>
    </w:p>
    <w:p>
      <w:r>
        <w:t>FR: ATF 134 II 25</w:t>
      </w:r>
    </w:p>
    <w:p>
      <w:r>
        <w:t>IT: DTF 134 II 25</w:t>
      </w:r>
    </w:p>
    <w:p>
      <w:pPr>
        <w:pStyle w:val="Heading2"/>
      </w:pPr>
      <w:r>
        <w:t>Regeste</w:t>
      </w:r>
    </w:p>
    <w:p>
      <w:r>
        <w:t>Regeste Anwendbarkeit des Freizügigkeitsabkommens; öffentliche Ordnung; Anspruch auf Familiennachzug (Art. 8 EMRK); EU-Bürger, der in seiner Heimat wegen Steuerdelikten gesucht wird. Im Ausland begangene Steuerdelikte können Massnahmen aus Gründen der öffentlichen Ordnung im Sinne von Art. 5 Anhang I FZA rechtfertigen, auch wenn die Schweiz selber für derartige Vergehen vorab Geldstrafen vorsieht, denen - mehr als in anderen Staaten - administrativer Charakter zukommt (E. 4.3.1). Frage offengelassen, ob im konkreten Fall eine gegenwärtige Gefährdung der öffentlichen Ordnung vorliegt (E. 4.3.2). Hinsichtlich der Einreise in den Gaststaat vermag sich nur auf die Personenfreizügigkeit zu berufen, wer frei aus seinem Herkunftsstaat ausreisen kann (vgl. Art. 1 Abs. 1 Anhang I FZA). Bei einer Person, die von ihrem Heimatstaat mit internationalem Haftbefehl gesucht wird, ist diese Voraussetzung nicht erfüllt; das Freizügigkeitsabkommen findet auf sie keine Anwendung (E. 5). In einem solchen Fall ergibt sich auch aus Art. 8 EMRK kein Anspruch auf Familiennachzug (E. 6).</w:t>
      </w:r>
    </w:p>
    <w:p>
      <w:r>
        <w:t>Regeste Applicabilité de l'Accord sur la libre circulation des personnes; ordre public; droit au regroupement familial (art. 8 CEDH); ressortissant communautaire recherché par la justice de son pays pour des infractions fiscales. En soi, des délits fiscaux commis à l'étranger sont de nature à justifier des mesures d'ordre public au sens de l'art. 5 annexe I ALCP, même si, en Suisse, les peines prévues à cet effet sont principalement d'ordre pécuniaire et ont un caractère administratif plus marqué que dans d'autres Etats (consid. 4.3.1); en l'espèce, question de l'existence d'une menace actuelle pour l'ordre public laissée ouverte (consid. 4.3.2). La liberté de circuler présuppose que la personne qui s'en prévaut ne soit pas seulement autorisée à entrer librement dans le pays d'accueil, mais aussi qu'elle puisse librement quitter le pays d'origine (cf. art. 1 par. 1 annexe I ALCP); tel n'est pas le cas d'une personne faisant l'objet d'un mandat d'arrêt international lancé par son pays d'origine; inapplicabilité de l'Accord dans un tel cas (consid. 5). Pas de droit au regroupement familial tiré de l'art. 8 CEDH non plus (consid. 6).</w:t>
      </w:r>
    </w:p>
    <w:p>
      <w:r>
        <w:t>Regesto Applicabilità dell'Accordo sulla libera circolazione delle persone; ordine pubblico; diritto al ricongiungimento familiare (art. 8 CEDU); cittadino comunitario ricercato dalla giustizia del suo paese per infrazioni fiscali. Delitti fiscali perpetrati all'estero possono, di per sé, giustificare misure di ordine pubblico ai sensi dell'art. 5 Allegato I ALC anche se, in Svizzera, le relative sanzioni sono essenzialmente di tipo pecuniario e hanno un carattere amministrativo più marcato che in altri Stati (consid. 4.3.1); in concreto, quesito dell'esistenza di una minaccia attuale per l'ordine pubblico lasciato indeciso (consid. 4.3.2). La libertà di circolare presuppone non solo che la persona che se ne prevale sia autorizzata ad entrare liberamente nello Stato ospitante, ma anche che possa lasciare liberamente il paese d'origine (cfr. art. 1 cpv. 1 Allegato I ALC); ciò non è il caso di una persona contro la quale il paese di origine ha spiccato un ordine di arresto internazionale; in tale evenienza l'Accordo è inapplicabile (consid. 5). Non vi è nemmeno un diritto al ricongiungimento familiare in virtù dell'art. 8 CEDU (consid. 6).</w:t>
      </w:r>
    </w:p>
    <w:p>
      <w:pPr>
        <w:pStyle w:val="Heading2"/>
      </w:pPr>
      <w:r>
        <w:t>Erwägungen</w:t>
      </w:r>
    </w:p>
    <w:p>
      <w:r>
        <w:rPr>
          <w:b/>
        </w:rPr>
        <w:t>E. 4.1</w:t>
      </w:r>
    </w:p>
    <w:p>
      <w:r>
        <w:t>Selon les constatations du Tribunal administratif, le recourant a été condamné par la justice britannique à une peine de neuf ans de prison pour s'être rendu coupable d'une soustraction fiscale en matière de taxe sur la valeur ajoutée (TVA) portant sur un montant d'environ 38 millions de livres sterling (soit plus de 90 millions de francs suisses). Il ne s'agit pas, selon les premiers juges, d'un simple cas d'évasion fiscale, mais d'une véritable fraude fiscale: le forfait a été commis en bande (par association de malfaiteurs) et l'intéressé a eu recours à des sociétés basées au Royaume-Uni, en Irlande et en Espagne; en outre, il aurait reconnu deux actes tombant sous le coup de la législation britannique en matière de lutte contre le blanchiment d'argent. L'arrêt attaqué retient ensuite que le recourant s'est évadé de son lieu de détention le 23 février 2005 et qu'il s'est réfugié en Espagne. C'est apparemment pour échapper au mandat d'arrêt international délivré à son encontre par la Grande-Bretagne qu'il a, selon les premiers juges, décidé de fuir l'Espagne pour tenter d'entrer en Suisse le 3 septembre 2005 sous une fausse identité, " commettant ainsi un délit pénal dès son entrée sur le territoire suisse ". Le Tribunal administratif déduit des faits ainsi constatés que le recourant constitue une menace réelle et actuelle pour l'ordre public au sens de l' art. 5 annexe I ALCP : les infractions qu'il a commises dans son pays sont graves et ont du reste été lourdement sanctionnées; par ailleurs, le risque qu'il " s'adonne à d'autres activités délictueuses n'est pas totalement exclu " au vu notamment de son comportement depuis sa condamnation (évasion, fuite en Espagne, acquisition et utilisation de faux papiers). BGE 134 II 25 S. 29</w:t>
      </w:r>
    </w:p>
    <w:p>
      <w:r>
        <w:rPr>
          <w:b/>
        </w:rPr>
        <w:t>E. 4.2</w:t>
      </w:r>
    </w:p>
    <w:p>
      <w:r>
        <w:t>(Le Tribunal fédéral est lié par les faits constatés souverainement par l'autorité cantonale.)</w:t>
      </w:r>
    </w:p>
    <w:p>
      <w:r>
        <w:rPr>
          <w:b/>
        </w:rPr>
        <w:t>E. 4.3.1</w:t>
      </w:r>
    </w:p>
    <w:p>
      <w:r>
        <w:t>Sur le fond, le recourant estime que les actes pour lesquels il a été condamné en Grande-Bretagne et en Suisse ne présentent pas un degré de gravité suffisant pour justifier des mesures d'ordre public au sens de l' art. 5 annexe I ALCP . Il en veut notamment pour preuve le fait que les autorités suisses n'ont pas donné suite à la demande d'extradition le concernant présentée par les autorités britanniques. En l'espèce, on ignore le détail des infractions commises par le recourant en Grande-Bretagne. Peu importe toutefois, car il suffit de constater que, selon les faits retenus par le Tribunal administratif, l'intéressé a soustrait au fisc de son pays de très importantes sommes dues au titre de la TVA. Or, même si les peines prévues à cet effet sont principalement d'ordre pécuniaire et ont un caractère administratif plus marqué que dans d'autres Etats (cf. art. 85 ss de la loi fédérale du 2 septembre 1999 régissant la taxe sur la valeur ajoutée [loi sur la TVA, LTVA; RS 641.20]), les faits pour lesquels le recourant a été condamné dans son pays font également l'objet de " mesures répressives " en Suisse au sens de la jurisprudence rendue par la Cour de justice des Communautés européennes (CJCE) à propos de la directive 64/221/CEE à laquelle il est fait référence à l' art. 5 par. 2 annexe I ALCP (cf. arrêt de la CJCE du 18 mai 1982, Adoui et Cornuaille , C-115 et 116/81, Rec. 1982, p. II-1665, point 8). En conséquence, les antécédents pénaux de l'intéressé en Grande-Bretagne sont susceptibles de justifier des mesures d'ordre public fondées sur l' art. 5 annexe I ALCP (cf. ATF 130 II 493 consid. 3.2 p. 489, ATF 130 II 176 consid. 3.4.1 p. 182 s. et les arrêts cités de la CJCE), sans préjudice des motifs - qui tiennent apparemment à la nature fiscale des actes incriminés - pour lesquels l'autorité suisse compétente a refusé de faire droit à la demande d'extradition britannique.</w:t>
      </w:r>
    </w:p>
    <w:p>
      <w:r>
        <w:rPr>
          <w:b/>
        </w:rPr>
        <w:t>E. 4.3.2</w:t>
      </w:r>
    </w:p>
    <w:p>
      <w:r>
        <w:t>Le recourant soutient que ses antécédents ne permettent cependant pas de conclure à l'existence d'une menace actuelle pour l'ordre public suisse. Il souligne qu'à l'exception de sa condamnation à une amende de 1'200 fr. pour une infraction mineure à la loi fédérale du 26 mars 1931 sur le séjour et l'établissement des étrangers (LSEE; RS 142.20), son comportement est exempt de toute critique depuis qu'il vit en Suisse. En l'espèce, certains éléments ressortant de l'arrêt attaqué suggèrent que les délits fiscaux commis par le recourant en Grande-Bretagne BGE 134 II 25 S. 30 sont particulièrement graves (importance des montants soustraits au fisc; commission des infractions en bande; apparente utilisation de sociétés écrans à l'étranger; évocation d'actes de blanchiment; etc.). Par ailleurs, quoi qu'en dise le recourant, on ne saurait non plus sous-estimer la gravité des faits qui lui sont reprochés en Suisse. L'utilisation de faux papiers atteste en effet que l'intéressé reste prêt, comme dans le passé, à tromper la confiance des autorités, cas échéant pour commettre des infractions. Au vu de ses antécédents, on peut notamment redouter qu'il ne cherche à tirer profit de sa présence en Suisse pour se livrer à des activités criminelles en matières économique et financière, par exemple pour blanchir de l'argent. Pour autant, il ne s'agit là que de suppositions que les faits constatés dans l'arrêt attaqué ne permettent pas d'étayer à suffisance de droit. L'existence d'une menace actuelle pour l'ordre public ne se laisse en effet pas déduire, contrairement à l'opinion des premiers juges, du simple constat que tout risque de récidive (entendu dans le sens large de commission d'une infraction) ne peut pas être écarté dans un cas particulier. Ce serait aller trop loin que de poser une telle exigence. En réalité, c'est en fonction de l'ensemble des circonstances du cas que doit s'apprécier un risque de récidive, à commencer par la nature et l'importance du bien juridique menacé ainsi que par la gravité de l'atteinte potentielle qui pourrait y être portée (cf. ATF 130 II 493 consid. 3.3 p. 499 s., ATF 130 II 176 consid. 4.3.1 p. 185/186 et les références citées, en particulier à l'arrêt de la CJCE du 27 octobre 1977, Bouchereau , C-30/77, Rec. 1977, p. II-1999, points 27 ss). Or, l'arrêt attaqué ne contient aucune constatation à cet égard. La question peut néanmoins rester indécise, car le recours est de toute façon mal fondé pour un autre motif.</w:t>
      </w:r>
    </w:p>
    <w:p>
      <w:r>
        <w:rPr>
          <w:b/>
        </w:rPr>
        <w:t>E. 5</w:t>
      </w:r>
    </w:p>
    <w:p>
      <w:r>
        <w:t>Comme l'a constaté le Tribunal administratif, le but du séjour en Suisse du recourant vise essentiellement - sinon exclusivement - à lui permettre d'échapper à la longue peine privative de liberté à laquelle il a été condamné en Grande-Bretagne (neuf années de prison et quatre années supplémentaires s'il ne respecte pas une convention de remboursement passée avec l'Etat britannique). C'est d'ailleurs, selon toute vraisemblance et comme l'ont retenu les premiers juges, par crainte d'être extradé vers son pays après la diffusion du mandat d'arrêt international délivré par Interpol que l'intéressé n'est pas resté en Espagne mais a préféré gagner la Suisse. Par rapport à d'autres destinations où la libre circulation s'exerce également, il a donc choisi notre pays à seule fin de faire échec à son extradition. BGE 134 II 25 S. 31 Autrement dit, le recourant n'est pas venu en Suisse, à proprement parler, pour exercer son droit à la libre circulation, mais pour échapper à la justice britannique. Or, pareille hypothèse n'est pas visée et protégée par l'Accord sur la libre circulation des personnes: la liberté de circuler présuppose en effet que celui qui s'en prévaut ne soit pas seulement autorisé à entrer librement dans le pays d'accueil, mais aussi qu'il puisse librement quitter le pays d'origine. Du reste, l'exercice du plus simple et du plus élémentaire des droits liés à la libre circulation, soit celui d'entrer sur le territoire d'une partie contractante ou d'en sortir, exige " la présentation d'une carte d'identité ou d'un passeport en cours de validité " (cf. art. 1 par. 1 annexe I ALCP ), soit d'un document qui ne peut être établi que par l'Etat d'origine. Par ailleurs, comme il l'exprime dans son préambule, l'Accord repose sur l'affirmation que " la liberté des personnes de circuler sur les territoires des parties contractantes constitue un élément important pour le développement harmonieux de leurs relations ". Or, un tel esprit de concorde et de coopération serait mis à mal si une partie contractante était amenée à délivrer une autorisation de séjour au ressortissant d'une autre partie contractante recherché par la justice de cet Etat. Dans ces conditions, le recourant ne peut pas se prévaloir des droits garantis par l'Accord sur la libre circulation. Il est du reste plus que douteux qu'il puisse obtenir, le moment venu, le renouvellement de son passeport britannique qui viendra à échéance le 29 décembre 2008, du moins s'il expose alors correctement sa situation aux autorités consulaires britanniques. Cette interprétation de l'Accord n'entre pas en contradiction avec la politique suivie par la Suisse en matière d'extradition: il y a en effet une différence notable entre le fait d'arrêter et de livrer une personne à son pays d'origine et le fait de lui refuser une autorisation de séjour et de l'inviter à quitter la Suisse. Dans le cas particulier, le refus de permis de séjour opposé au recourant sera assorti d'un nouveau délai de départ et l'intéressé aura tout loisir de quitter volontairement la Suisse pour une destination de son choix.</w:t>
      </w:r>
    </w:p>
    <w:p>
      <w:r>
        <w:rPr>
          <w:b/>
        </w:rPr>
        <w:t>E. 6</w:t>
      </w:r>
    </w:p>
    <w:p>
      <w:r>
        <w:t>Enfin, le recourant ne peut tirer avantage du droit au respect de la vie familiale garanti à l' art. 8 CEDH . En effet, selon une jurisprudence constante de la Cour européenne des droits de l'homme, ce n'est que dans des circonstances exceptionnelles que cette disposition conventionnelle peut conduire à la reconnaissance d'une véritable obligation (positive) de l'Etat requis d'accorder une autorisation BGE 134 II 25 S. 32 de séjour au titre du regroupement familial, soit lorsqu'il apparaît, au terme d'une pesée de tous les intérêts (privés et publics) en présence, que l'on ne saurait raisonnablement exiger des personnes concernées qu'elles aillent vivre leurs relations familiales dans un autre pays (cf. JEAN-FRANÇOIS AKANDJI-KOMBE, Les obligations positives en vertu de la Convention européenne des Droits de l'Homme, in Série "Précis sur les droits de l'homme", n° 7, Conseil de l'Europe [éd.], Strasbourg 2006, p. 45 et les références citées). Or, en l'espèce, le recourant et sa famille, arrivés depuis peu de temps en Suisse, n'y ont apparemment pas d'attaches d'une intensité particulière. Par ailleurs, l'épouse et la fille du recourant savaient que ce dernier n'avait pas d'autorisation de séjour et qu'il courait le risque de n'en pas obtenir sous sa véritable identité; elles devaient dès lors compter avec la perspective de vivre séparées de l'intéressé ou de quitter la Suisse si elles voulaient le suivre. Du reste, rien n'empêche la famille de s'installer dans un autre pays, sinon les déboires du recourant avec la justice britannique - motif qui ne saurait toutefois entrer en ligne de compte dans le cas particulier sous l'angle de l' art. 8 CEDH . Le grief tiré de la violation de l' art. 8 CEDH et du principe de la proportionnalité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