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 137</w:t>
      </w:r>
    </w:p>
    <w:p>
      <w:r>
        <w:t>Bundesgericht (BGE), 2008-01-01, DE</w:t>
      </w:r>
    </w:p>
    <w:p>
      <w:r>
        <w:rPr>
          <w:b/>
        </w:rPr>
        <w:t xml:space="preserve">Quelle: </w:t>
      </w:r>
      <w:r>
        <w:t>https://mcp.opencaselaw.ch/entscheid/bge_BGE_134_II_137</w:t>
      </w:r>
    </w:p>
    <w:p>
      <w:r>
        <w:t>FR: ATF 134 II 137</w:t>
      </w:r>
    </w:p>
    <w:p>
      <w:r>
        <w:t>IT: DTF 134 II 137</w:t>
      </w:r>
    </w:p>
    <w:p>
      <w:pPr>
        <w:pStyle w:val="Heading2"/>
      </w:pPr>
      <w:r>
        <w:t>Regeste</w:t>
      </w:r>
    </w:p>
    <w:p>
      <w:r>
        <w:t>Regeste Art. 93 Abs. 1 BGG; Zwischen- und Endentscheid. Ein Entscheid, der die Streitsache zur Vornahme weiterer Abklärungen an die untere Instanz zurückwies, konnte nach der Rechtsprechung zur Verwaltungsgerichtsbeschwerde je nach dessen Tragweite einen Zwischen- oder einen Endentscheid darstellen (E. 1.3.1). Abgrenzung Zwischenentscheid - Endentscheid nach dem Bundesgerichtsgesetz (E. 1.3.2). Frage, ob ein Zwischenentscheid oder ein Endentscheid vorliegt, offengelassen (E. 1.3.3).</w:t>
      </w:r>
    </w:p>
    <w:p>
      <w:r>
        <w:t>Regeste Art. 93 al. 1 LTF; décision incidente et décision finale. Selon la jurisprudence relative au recours de droit administratif, une décision de renvoi à l'instance inférieure pour complément d'instruction pouvait, selon sa portée, constituer une décision incidente ou finale (consid. 1.3.1). Distinction entre décision incidente et finale selon la LTF (consid. 1.3.2). Question laissée indécise en l'espèce (consid. 1.3.3).</w:t>
      </w:r>
    </w:p>
    <w:p>
      <w:r>
        <w:t>Regesto Art. 93 cpv. 1 LTF; decisione incidentale e decisione finale. Secondo la giurisprudenza concernente il ricorso di diritto amministrativo, una decisione che rinviava la causa all'istanza inferiore per eseguire ulteriori chiarimenti poteva costituire, a dipendenza della sua portata, sia una decisione incidentale sia una decisione finale (consid. 1.3.1). Delimitazione tra decisione incidentale e decisione finale secondo la legge sul Tribunale federale (consid. 1.3.2). La questione di sapere se sia data una decisione incidentale o finale è stata lasciata indecisa (consid. 1.3.3).</w:t>
      </w:r>
    </w:p>
    <w:p>
      <w:pPr>
        <w:pStyle w:val="Heading2"/>
      </w:pPr>
      <w:r>
        <w:t>Erwägungen</w:t>
      </w:r>
    </w:p>
    <w:p>
      <w:r>
        <w:rPr>
          <w:b/>
        </w:rPr>
        <w:t>E. 1</w:t>
      </w:r>
    </w:p>
    <w:p>
      <w:r>
        <w:t>Das Bundesgericht prüft seine Zuständigkeit und die Zulässigkeit der Beschwerde von Amtes wegen ( Art. 29 Abs. 1 BGG ; BGE 133 II 249 E. 1.1 S. 251). BGE 134 II 137 S. 139</w:t>
      </w:r>
    </w:p>
    <w:p>
      <w:r>
        <w:rPr>
          <w:b/>
        </w:rPr>
        <w:t>E. 1.1</w:t>
      </w:r>
    </w:p>
    <w:p>
      <w:r>
        <w:t>Das angefochtene Urteil des Verwaltungsgerichts ist ein Entscheid einer letzten kantonalen Instanz ( Art. 86 Abs. 1 lit. d BGG ). Ihm liegt ein Beschwerdeverfahren betreffend die Ausscheidung von Grundwasserschutzzonen im Sinne von Art. 20 des Bundesgesetzes vom 24. Januar 1991 über den Schutz der Gewässer (Gewässerschutzgesetz, GSchG; SR 814.20) und damit eine öffentlich- rechtliche Angelegenheit zu Grunde. Das Bundesgerichtsgesetz enthält auf dem Gebiet des Gewässerschutzrechts keinen Ausschlussgrund von der Beschwerde in öffentlich-rechtlichen Angelegenheiten ( Art. 82 lit. a und Art. 83 BGG ).</w:t>
      </w:r>
    </w:p>
    <w:p>
      <w:r>
        <w:rPr>
          <w:b/>
        </w:rPr>
        <w:t>E. 1.2</w:t>
      </w:r>
    </w:p>
    <w:p>
      <w:r>
        <w:t>Die Korporation Wollerau ist eine Genossenschaft des kantonalen öffentlichen Rechts und als solche Trägerin der Wasserversorgung, zu welcher die umstrittenen Grundwasserfassungen Bächau 1 und 2 gehören. Sie ist gemäss Art. 89 Abs. 1 BGG zur Beschwerde berechtigt. Sie war am kantonalen Verfahren beteiligt, wird durch den angefochtenen Entscheid in ihren hoheitlichen Befugnissen und Aufgaben (vgl. Art. 20 Abs. 2 GSchG ) berührt und hat ein eigenes schutzwürdiges Interesse an der Aufhebung oder Änderung des Urteils des Verwaltungsgerichts (vgl. BGE 133 II 249 E. 1.3.1 S. 253; BGE 131 II 58 E. 1.3 S. 62; BGE 124 II 293 E. 3b S. 304; BGE 123 II 371 E. 2c S. 374 f.; Urteil des Bundesgerichts 1C_14/2007 vom 9. Oktober 2007, E. 2.2, je mit zahlreichen Hinweisen).</w:t>
      </w:r>
    </w:p>
    <w:p>
      <w:r>
        <w:rPr>
          <w:b/>
        </w:rPr>
        <w:t>E. 1.3</w:t>
      </w:r>
    </w:p>
    <w:p>
      <w:r>
        <w:t>Mit dem angefochtenen Urteil weist das Verwaltungsgericht die Sache an das Departement des Innern zur neuen Beurteilung aufgrund eines überarbeiteten und aktualisierten Gutachtens zurück. Ausserdem liegt dem angefochtenen Urteil ein Entscheid des Regierungsrats zu Grunde, mit welchem die Sache zur Überarbeitung des Schutzzonenreglements an das Departement des Innern zurückgewiesen wurde. Mit der Rückweisung der Angelegenheit an das Departement zur neuen Beurteilung wird das Verfahren nicht abgeschlossen.</w:t>
      </w:r>
    </w:p>
    <w:p>
      <w:r>
        <w:rPr>
          <w:b/>
        </w:rPr>
        <w:t>E. 1.3.1</w:t>
      </w:r>
    </w:p>
    <w:p>
      <w:r>
        <w:t>Entscheide der vorliegenden Art wurden nach der früheren Praxis des Bundesgerichts zur Verwaltungsgerichtsbeschwerde als Endentscheide betrachtet, soweit mit dem Rückweisungsentscheid eine Grundsatzfrage entschieden und die Sache zur näheren Abklärung an die Vorinstanz zurückgewiesen wurde (Urteile des Bundesgerichts 1A.6/2007 vom 6. September 2007, E. 2, und 1A.33/2007 vom 22. Oktober 2007, E. 2; BGE 133 V 477 E. 3.1 S. 279; BGE 132 II 10 E. 1 S. 13; BGE 130 II 321 E. 1 S. 324; BGE 129 II 286 E. 4.2 S. 291; BGE 120 Ib 97 BGE 134 II 137 S. 140 E. 1b S. 99; BGE 118 Ib 196 E. 1b S. 198; BGE 117 Ib 325 E. 1b S. 327). Enthielt der Rückweisungsentscheid hingegen materiell keine verbindlichen Vorgaben und präjudizierte er damit den neu zu treffenden Entscheid nicht, so handelte es sich um einen Zwischenentscheid, dessen Anfechtung einen nicht wieder gutzumachenden Nachteil tatsächlicher Natur voraussetzte. Der nicht wieder gutzumachende Nachteil musste nicht rechtlicher Natur sein, vielmehr reichte ein bloss wirtschaftliches Interesse aus, sofern es dem Beschwerdeführer bei der Anfechtung einer Zwischenverfügung nicht lediglich darum ging, eine Verlängerung oder Verteuerung des Verfahrens zu verhindern ( BGE 127 II 132 E. 2 S. 136; BGE 120 Ib 97 E. S. 100; BGE 116 Ib 344 E. 1c S. 347 f.). Der Beschwerdeführer trug insofern die Beweislast ( BGE 125 II 613 E. 2a S. 620).</w:t>
      </w:r>
    </w:p>
    <w:p>
      <w:r>
        <w:rPr>
          <w:b/>
        </w:rPr>
        <w:t>E. 1.3.2</w:t>
      </w:r>
    </w:p>
    <w:p>
      <w:r>
        <w:t>Im Rahmen der Rechtsprechung zum neuen Bundesgerichtsgesetz hat das Bundesgericht entschieden, dass materiellrechtliche Grundsatzentscheide, die einen Teilaspekt einer Streitsache (z.B. eine von mehreren materiellrechtlichen Anspruchsvoraussetzungen) beantworten und bisher in der verwaltungsrechtlichen Praxis des Bundesgerichts als (Teil-)Endentscheide betrachtet wurden, nach der Systematik des BGG nicht als Teil-, sondern als materiellrechtliche Zwischenentscheide gelten. Dem prozessökonomischen Anliegen, welches bisher mit der Qualifikation von Entscheiden über materielle Teilfragen als Teilendentscheide verfolgt wurde, könne im Rahmen der Anwendung von Art. 93 Abs. 1 lit. b BGG ("wenn die Gutheissung der Beschwerde sofort einen Endentscheid herbeiführen und damit einen bedeutenden Aufwand an Zeit oder Kosten für ein weitläufiges Beweisverfahren ersparen würde") Rechnung getragen werden ( BGE 133 V 477 E. 4.1.3 S. 481 mit Hinweisen). Die bundesgerichtliche Rechtsprechung betrachtet hingegen namentlich Entscheide der kantonalen Aufsichtsbehörden in Schuldbetreibungs- und Konkurssachen, Entscheide über die definitive oder provisorische Rechtsöffnung sowie Entscheide in Eheschutzsachen vor dem Hintergrund des entsprechenden materiellen Rechts als Endentscheide im Sinne von Art. 90 BGG ( BGE 133 III 350 E. 1.2, BGE 133 III 393 E. 4 S. 395 f., 399 E. 1.4). Ob selbständige Entscheide über die UVP-Pflicht eines grösseren Bauvorhabens (vgl. Urteil des Bundesgerichts 1A.33/2007 vom 22. Oktober 2007, E. 2) oder der Einleitungs- bzw. Zuteilungsbeschluss bei einem Quartierplan- oder Landumlegungsverfahren (vgl. BGE 117 Ia 412 E. 1a S. 414) im Lichte der Art. 90 ff. BGG weiterhin den Endentscheiden BGE 134 II 137 S. 141 gleichzustellen sind, hatte das Bundesgericht bisher noch nicht zu beurteilen.</w:t>
      </w:r>
    </w:p>
    <w:p>
      <w:r>
        <w:rPr>
          <w:b/>
        </w:rPr>
        <w:t>E. 1.3.3</w:t>
      </w:r>
    </w:p>
    <w:p>
      <w:r>
        <w:t>Wäre vorliegend in Anwendung der erwähnten Rechtsprechung gemäss BGE 133 V 477 E. 4.1.3 S. 481 von einem Zwischenentscheid im Sinne von Art. 93 Abs. 1 BGG auszugehen, so wäre die Beschwerde nur zulässig, wenn der angefochtene Entscheid einen nicht wieder gutzumachenden Nachteil bewirken kann (lit. a) oder wenn die Gutheissung der Beschwerde sofort einen Endentscheid herbeiführen und damit einen bedeutenden Aufwand an Zeit oder Kosten für ein weitläufiges Beweisverfahren ersparen würde (lit. b). Ob wegen der von der Vorinstanz verlangten zusätzlichen Abklärungen und Verfahren ein nicht wieder gutzumachender Nachteil im Sinne der Rechtsprechung vorliegt, ist unklar. Die diesbezüglich äusserst knappen Angaben der Beschwerdeführerin dürften jedenfalls den Anforderungen von Art. 42 Abs. 2 BGG kaum genügen. Keineswegs könnte mit einer Gutheissung der Beschwerde sofort ein Endentscheid im Sinne von Art. 93 Abs. 1 lit. b BGG herbeigeführt werden. Nach dem Entscheid des Regierungsrats vom 30. Mai 2006, dessen Bestätigung die Beschwerdeführerin ausdrücklich verlangt, muss das Departement des Innern Art. 6.1 lit. a des Schutzzonenreglements ohnehin noch überarbeiten. Indessen ist davon auszugehen, das die nach dem angefochtenen Entscheid verlangte Überarbeitung, Aktualisierung und Ergänzung der Unterlagen sowie erneute Durchführung des Auflageverfahrens zu einem weitläufigen Beweisverfahren mit erheblichem Mehraufwand und weiteren Verzögerungen führen dürfte (zum Begründungserfordernis vgl. BGE 133 III 629 E. 2.4.2 S. 633 sowie die frühere Rechtsprechung zu Art. 50 Abs. 1 OG in BGE 118 II 91 E. 1a S. 92). Die Zulässigkeit der Beschwerde unter dem Gesichtswinkel von Art. 93 BGG kann jedoch im vorliegenden Verfahren offenbleiben, da die Beschwerde - wie sich aus den nachfolgenden Erwägungen ergibt - ohnehin abgewiesen werden müsste.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