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97</w:t>
      </w:r>
    </w:p>
    <w:p>
      <w:r>
        <w:t>Bundesgericht (BGE), 2008-01-08, DE</w:t>
      </w:r>
    </w:p>
    <w:p>
      <w:r>
        <w:rPr>
          <w:b/>
        </w:rPr>
        <w:t xml:space="preserve">Quelle: </w:t>
      </w:r>
      <w:r>
        <w:t>https://mcp.opencaselaw.ch/entscheid/bge_BGE_134_III_97</w:t>
      </w:r>
    </w:p>
    <w:p>
      <w:r>
        <w:t>FR: ATF 134 III 97</w:t>
      </w:r>
    </w:p>
    <w:p>
      <w:r>
        <w:t>IT: DTF 134 III 97</w:t>
      </w:r>
    </w:p>
    <w:p>
      <w:pPr>
        <w:pStyle w:val="Heading2"/>
      </w:pPr>
      <w:r>
        <w:t>Regeste</w:t>
      </w:r>
    </w:p>
    <w:p>
      <w:r>
        <w:t>Regeste Genugtuung in Form einer Rente (Art. 47 OR). Die Genugtuung kann in Form einer Rente ausgerichtet werden. Eine Genugtuungsrente muss jedoch in einem ausgewogenen Verhältnis zu einer Genugtuung stehen, die als Kapital bezahlt wird (E. 4).</w:t>
      </w:r>
    </w:p>
    <w:p>
      <w:r>
        <w:t>Regeste Réparation morale sous forme de rente (art. 47 CO). L'indemnité pour tort moral peut être allouée sous forme de rente. Une telle rente doit toutefois être proportionnée à l'indemnité qui serait allouée sous forme de capital (consid. 4).</w:t>
      </w:r>
    </w:p>
    <w:p>
      <w:r>
        <w:t>Regesto Riparazione del torto morale in forma di rendita (art. 47 CO). L'indennità per torto morale può essere erogata nella forma di una rendita. Una simile rendita deve tuttavia stare in un rapporto proporzionato con l'indennità per torto morale che viene concessa in capitale (consid. 4).</w:t>
      </w:r>
    </w:p>
    <w:p>
      <w:pPr>
        <w:pStyle w:val="Heading2"/>
      </w:pPr>
      <w:r>
        <w:t>Erwägungen</w:t>
      </w:r>
    </w:p>
    <w:p>
      <w:r>
        <w:rPr>
          <w:b/>
        </w:rPr>
        <w:t>E. 4</w:t>
      </w:r>
    </w:p>
    <w:p>
      <w:r>
        <w:t>Im Hauptantrag verlangt die Beschwerdeführerin, es sei ihr eine Genugtuungsrente in der Höhe von mindestens Fr. 50.- und maximal Fr. 100.- pro Tag zuzusprechen. Bereits im kantonalen Verfahren verlangte die Beschwerdeführerin eine Genugtuungsrente von Fr. 100.- pro Tag, und zwar zahlbar ab Unfallereignis vom 3. Juni 1990 bis zum Urteilsdatum in Form einer Kapitalsumme zuzüglich Zins und ab dem Urteilsdatum als Rente von Fr. 3'000.- pro Monat.</w:t>
      </w:r>
    </w:p>
    <w:p>
      <w:r>
        <w:rPr>
          <w:b/>
        </w:rPr>
        <w:t>E. 4.1</w:t>
      </w:r>
    </w:p>
    <w:p>
      <w:r>
        <w:t>Das Obergericht führte dazu aus, dass eine Genugtuung nicht nur als Kapital, sondern auch als Rente ausgerichtet werden könne. Allerdings sei in der Schweiz die Genugtuungsrente praktisch unbekannt. Zudem müsste die kapitalisierte Genugtuungsrente ungefähr der in vergleichbaren Fällen ausgesprochenen Genugtuungssumme entsprechen. Die von der Beschwerdeführerin geforderte Rente von Fr. 100.- pro Tag ergebe nach der Darstellung der Beschwerdegegnerin einen kapitalisierten Betrag von ca. Fr. 1,4 Mio. (vom Unfalltag am 3. Juni 1990 bis zum Datum des Rechtsbegehrens am 2. Juni 2005 eine kapitalisierte Summe von Fr. 547'500.- und von da an - massgebliches Alter der Beschwerdeführerin in diesem Zeitpunkt 34 Jahre - lebenslänglich monatlich Fr. 3'000.-, was kapitalisiert Fr. 868'680.-, insgesamt also Fr. 1'416'180.- ergebe). Da im vorliegenden Fall eine Genugtuungssumme von Fr. 140'000.- angemessen sei und eine Genugtuung in Rentenform wertmässig ungefähr der Genugtuung in Kapitalform entsprechen müsse, könne dahingestellt bleiben, ob die Voraussetzungen für eine Genugtuungsleistung in Rentenform erfüllt wären, weil die Beschwerdegegnerin die angemessene Genugtuungssumme bereits bezahlt habe. Dagegen wendet die Beschwerdeführerin im Wesentlichen ein, dass nur eine lebenslange Genugtuungsrente der lebenslänglichen Leidensdauer der Beschwerdeführerin gerecht werde.</w:t>
      </w:r>
    </w:p>
    <w:p>
      <w:r>
        <w:rPr>
          <w:b/>
        </w:rPr>
        <w:t>E. 4.2</w:t>
      </w:r>
    </w:p>
    <w:p>
      <w:r>
        <w:t>Nach dem Wortlaut von Art. 47 OR kann der Richter dem Geschädigten eine angemessene "Geldsumme" als Genugtuung BGE 134 III 97 S. 100 zusprechen. Während der deutsche Gesetzeswortlaut darauf schliessen lassen könnte, dass eine Genugtuung zwingend als Kapital abgegolten wird, verwenden der französische und italienische Gesetzestext den Begriff "Entschädigung" ("indemnité", "indennità"), die gemäss Art. 43 OR nicht nur als Kapital, sondern auch als Rente ausgerichtet werden kann. Die Lehre geht denn auch überwiegend davon aus, dass nicht nur beim materiellen Schaden (Schadenersatz), sondern auch beim immateriellen Schaden (Genugtuung) die Rente eine zulässige Abgeltungsform ist (HARDY LANDOLT, Zürcher Kommentar, Zürich 2007, N. 283 Vorbemerkung zu Art. 47/49 OR; HEINZ REY, Ausservertragliches Haftpflichtrecht, 3. Aufl., Zürich 2003, S. 116, Rz. 507; PIERRE TERCIER, Contribution à l'étude du tort moral et de sa réparation en droit civil suisse, Freiburg 1971, S. 222; MATTHIAS LEEMANN, Die Rente als Art des Schadenersatzes im Haftpflichtrecht, Diss. Zürich 2002, S. 62 ff.; VOLKER PRIBNOW, Einzelfragen zur Anwendung der Barwerttafeln von Stauffer/Schätzle, Collezione Assista, Genf 1998, S. 511; aus praktischer Sicht kritisch FRANZ WERRO, Commentaire romand, Code des obligations I, Genf 2003, N. 19 zu Art. 47 OR ; ROLAND BREHM, Berner Kommentar, 3. Aufl., Bern 2006, N. 8 und 8a zu Art. 47 OR ; ablehnend OFTINGER/STARK, Schweizerisches Haftpflichtrecht, Allgemeiner Teil, Bd. I, Zürich 1995, S. 463, Rz. 103). Auf jeden Fall muss eine Genugtuungsrente jedoch in einem ausgewogenen Verhältnis zu den Genugtuungsbeträgen in Kapitalform stehen, die in vergleichbaren Fällen zugesprochen werden. Ob die Genugtuung in Form eines Kapitals oder einer Rente ausgerichtet wird, ist nur eine Frage der Abgeltungsform, hat aber keinen Einfluss auf die Genugtuungsbemessung (LEEMANN, a.a.O., S. 65; sinngemäss auch BREHM, a.a.O., N. 8a zu Art. 47 OR ).</w:t>
      </w:r>
    </w:p>
    <w:p>
      <w:r>
        <w:rPr>
          <w:b/>
        </w:rPr>
        <w:t>E. 4.3</w:t>
      </w:r>
    </w:p>
    <w:p>
      <w:r>
        <w:t>Im vorliegenden Fall erweist sich eine Genugtuungssumme von Fr. 140'000.- wie ausführlich erläutert als angemessen. Die von der Beschwerdeführerin im kantonalen Verfahren geforderte Genugtuungsrente von 100.- pro Tag ergäbe nach der Darstellung im angefochtenen Urteil einen kapitalisierten Betrag von ca. Fr. 1,4 Mio. (vgl. E. 4.1). Wenn im vorliegenden Fall eine Genugtuungsrente überhaupt in Frage käme, wäre sie auf jeden Fall auf der Basis eines Genugtuungskapitals von Fr. 140'000.- zu berechnen. Die Beschwerdeführerin macht jedoch auch im Verfahren vor Bundesgericht eine Genugtuungsrente von mindestens Fr. 50.- und maximal Fr. 100.- pro Tag geltend, die kapitalisiert den Betrag von Fr. 140'000.- bei weitem übersteigt. Daraus erhellt, dass es der Beschwerdeführerin mit ihrem BGE 134 III 97 S. 101 Antrag auf Zusprechung einer Genugtuungsrente in erster Linie darum geht, insgesamt eine höhere als die angemessene Genugtuungssumme von Fr. 140'000.- zu erwirken. Damit scheint die Beschwerdeführerin aber zu übersehen, dass die Frage, ob die Genugtuung in Form eines Kapitals oder einer Rente ausgerichtet wird, keinen Einfluss auf die Genugtuungsbemessung haben darf, sondern nur die Abgeltungsform betrifft. Entgegen der Auffassung der Beschwerdeführerin ist das jugendliche Alter der Geschädigten im Unfallzeitpunkt - und damit die längere Leidensdauer - nicht ausschlaggebend für die Frage, ob ein Genugtuungskapital oder eine Genugtuungsrente zugesprochen wird. Vielmehr ist das Alter des Verletzten bzw. die Leidensdauer eines von mehreren Kriterien (Dauer der Auswirkungen auf die Persönlichkeit des Betroffenen), das bei der Genugtuungsbemessung in Betracht fällt und von der Vorinstanz auch berücksichtigt worden ist. Demgegenüber hat das Alter des Geschädigten auf die Abgeltungsform (Kapital oder Rente) keinen Einfluss.</w:t>
      </w:r>
    </w:p>
    <w:p>
      <w:r>
        <w:rPr>
          <w:b/>
        </w:rPr>
        <w:t>E. 4.4</w:t>
      </w:r>
    </w:p>
    <w:p>
      <w:r>
        <w:t>Entgegen der Auffassung der Beschwerdeführerin ist auch der Umstand, dass das Militärversicherungsgesetz eine Integritätsschadenrente vorsieht ( Art. 48 ff. MVG [SR 833.1]), für den hier zu beurteilenden Fall nicht ausschlaggebend. Eine im Sozialversicherungsrecht vorgesehene Spezialregelung für den Bereich der Militärversicherung ist nicht entscheidend für die Frage, wie eine dem Privatrecht unterstehende Genugtuung zu bemessen und abzugelten ist, zumal nicht einmal in allen Sozialversicherungsbereichen gleiche Berechnungsgrundlagen und Leistungsansätze gelten. Die kapitalisierten Leistungen in der Militärversicherung liegen in der Regel deutlich über dem, was der Versicherte bei gleichartiger Schädigung seitens der Unfallversicherer erhält. Dies wird allgemein damit begründet, dass der Versicherte im Rahmen der Wehrpflicht besonderen Risiken ausgesetzt ist, die im Versicherungsfall eine grosszügige Entschädigung rechtfertigen (JÜRG MAESCHI, Kommentar zum Bundesgesetz über die Militärversicherung [MVG] vom 19. Juni 1992, Bern 2000, N. 8 Vorbemerkungen zu Art. 48-50 MVG , mit Hinweisen). Eine generelle Anwendung dieser Sonderregeln ist nicht angebracht.</w:t>
      </w:r>
    </w:p>
    <w:p>
      <w:r>
        <w:rPr>
          <w:b/>
        </w:rPr>
        <w:t>E. 4.5</w:t>
      </w:r>
    </w:p>
    <w:p>
      <w:r>
        <w:t>Aus diesen Gründen erweist sich der Antrag der Beschwerdeführerin, es sei ihr eine Genugtuungsrente von mindestens Fr. 50.- bzw. maximal Fr. 100.- pro Tag zuzusprechen, als unbegründet. Eine Rente berechnet auf einem Genugtuungskapital von Fr. 140'000.- verlangt die Beschwerdeführerin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