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III 669</w:t>
      </w:r>
    </w:p>
    <w:p>
      <w:r>
        <w:t>Bundesgericht (BGE), 2008-01-01, FR</w:t>
      </w:r>
    </w:p>
    <w:p>
      <w:r>
        <w:rPr>
          <w:b/>
        </w:rPr>
        <w:t xml:space="preserve">Quelle: </w:t>
      </w:r>
      <w:r>
        <w:t>https://mcp.opencaselaw.ch/entscheid/bge_BGE_134_III_669</w:t>
      </w:r>
    </w:p>
    <w:p>
      <w:r>
        <w:t>FR: ATF 134 III 669</w:t>
      </w:r>
    </w:p>
    <w:p>
      <w:r>
        <w:t>IT: DTF 134 III 669</w:t>
      </w:r>
    </w:p>
    <w:p>
      <w:pPr>
        <w:pStyle w:val="Heading2"/>
      </w:pPr>
      <w:r>
        <w:t>Regeste</w:t>
      </w:r>
    </w:p>
    <w:p>
      <w:r>
        <w:t>Regeste Art. 123 Abs. 2 lit. a BGG; Revision eines Bundesgerichtsurteils. Bedingungen, unter denen ein Bundesgerichtsurteil infolge neuer Tatsachen revidiert werden kann (E. 2 und 3).</w:t>
      </w:r>
    </w:p>
    <w:p>
      <w:r>
        <w:t>Regeste Art. 123 al. 2 let. a LTF; révision d'un arrêt du Tribunal fédéral. Conditions auxquelles un arrêt du Tribunal fédéral peut être révisé en raison de faits nouveaux (consid. 2 et 3).</w:t>
      </w:r>
    </w:p>
    <w:p>
      <w:r>
        <w:t>Regesto Art. 123 cpv. 2 lett. a LTF; revisione di una sentenza del Tribunale federale. Condizioni alle quali una sentenza del Tribunale federale può essere oggetto di una revisione in seguito a fatti nuovi (consid. 2 e 3).</w:t>
      </w:r>
    </w:p>
    <w:p>
      <w:pPr>
        <w:pStyle w:val="Heading2"/>
      </w:pPr>
      <w:r>
        <w:t>Erwägungen</w:t>
      </w:r>
    </w:p>
    <w:p>
      <w:r>
        <w:rPr>
          <w:b/>
        </w:rPr>
        <w:t>E. 2.1</w:t>
      </w:r>
    </w:p>
    <w:p>
      <w:r>
        <w:t>Aux termes de l' art. 123 al. 2 let. a LTF , la révision peut être demandée dans les affaires civiles si le requérant découvre après coup des faits pertinents ou des moyens de preuve concluants qu'il n'avait pas pu invoquer dans la procédure précédente, à l'exclusion des faits ou moyens de preuve postérieurs à l'arrêt. Cette disposition reprend en substance l' art. 137 let. b OJ , de sorte que la jurisprudence antérieure conserve toute sa valeur ( ATF 134 III 45 consid. 2.1 p. 47; ATF 134 IV 48 consid. 1.2 p. 50, avec la jurisprudence citée dans ces arrêts).</w:t>
      </w:r>
    </w:p>
    <w:p>
      <w:r>
        <w:rPr>
          <w:b/>
        </w:rPr>
        <w:t>E. 2.2</w:t>
      </w:r>
    </w:p>
    <w:p>
      <w:r>
        <w:t>Lorsque le Tribunal fédéral rejette ou déclare irrecevable le recours de droit public, ou déclare irrecevable le recours en réforme, son arrêt ne se substitue pas à la décision cantonale attaquée; celle-ci demeure en force et est sujette à révision cantonale pour les motifs qui affectent l'état de fait qu'elle constate. Les faits pertinents et moyens de preuve concluants qui existaient déjà au moment où, BGE 134 III 669 S. 671 dans la procédure (cantonale) principale, des allégations de fait et offres de preuve étaient encore recevables, mais qui n'étaient pas connus du requérant malgré toute sa diligence et n'ont été découverts par lui que postérieurement à l'arrêt du Tribunal fédéral, peuvent donc faire l'objet d'une procédure de révision cantonale devant la dernière juridiction cantonale saisie de la cause au fond ( ATF 134 III 45 consid. 2.2 et 2.3 p. 47/48, avec les références citées; pour le recours en réforme irrecevable: ATF 118 II 477 consid. 1 p. 478/479). En revanche, lorsque, statuant sur la base des faits constatés dans la décision cantonale, le Tribunal fédéral admet ou rejette le recours en réforme, son arrêt se substitue à la décision (cantonale) entreprise et constitue la seule décision en force (cf. art. 61 LTF ) susceptible d'être révisée pour les motifs énumérés aux art. 121 et 123 LTF ( ATF 118 II 477 consid. 1 p. 478). Seuls peuvent justifier une révision fondée sur l' art. 123 al. 2 let. a LTF les faits qui se sont produits jusqu'au moment où, dans la procédure principale, des allégations de fait étaient encore recevables, mais qui n'étaient pas connus du requérant malgré toute sa diligence et n'ont été découverts par lui que postérieurement à l'arrêt du Tribunal fédéral; ces faits doivent, de surcroît, être pertinents, à savoir de nature à modifier l'état de fait qui est à la base de l'arrêt attaqué et à aboutir à un jugement différent en fonction d'une appréciation juridique correcte ( ATF 134 IV 48 consid. 1.2 p. 50; arrêts 4F_1/2007 du 13 mars 2007 consid. 7.1; 4F_3/2007 du 27 juin 2007 consid. 3.1 et les références citées dans ces arrêts).</w:t>
      </w:r>
    </w:p>
    <w:p>
      <w:r>
        <w:rPr>
          <w:b/>
        </w:rPr>
        <w:t>E. 3.1</w:t>
      </w:r>
    </w:p>
    <w:p>
      <w:r>
        <w:t>Le requérant allègue que le Tribunal d'arrondissement de la Côte lui a transmis trois déclarations d'impôts de son ex-épouse, dont il ressort que le revenu net de l'activité principale de celle-ci s'est élevé à 101'958 fr. 67 en 2004, à 71'191 fr. 02 en 2005 et à 83'957 fr. en 2006 (7'141 fr. par mois en moyenne). Il en déduit qu'elle gagnait beaucoup plus que 2'000 fr. depuis 2004, à savoir déjà avant le jugement de première instance du 5 avril 2005 qui avait retenu ce montant et avant les arrêts du Tribunal fédéral du 29 mars 2007; partant, elle n'a pas droit à une contribution d'entretien, ni à une indemnité en capital sous forme de rente pour sa lacune de prévoyance.</w:t>
      </w:r>
    </w:p>
    <w:p>
      <w:r>
        <w:rPr>
          <w:b/>
        </w:rPr>
        <w:t>E. 3.2</w:t>
      </w:r>
    </w:p>
    <w:p>
      <w:r>
        <w:t>Les deux arrêts du Tribunal fédéral dont la révision est deman dée sont des arrêts connexes rendus contre la même décision cantonale sur les effets accessoires du divorce. Le premier a rejeté le BGE 134 III 669 S. 672 recours de droit public dans la mesure où il était recevable;examinant la question du montant de 2'000 fr. admis comme revenu de l'épouse par la cour cantonale, le Tribunal fédéral a déclaré les griefs du recourant irrecevables, l'un pour défaut d'épuisement des instances cantonales, l'autre pour défaut de motivation (consid. 7.2). Le second arrêt a partiellement accueilli le recours en réforme dans la mesure de sa recevabilité (le recours joint devenant sans objet). Le Tribunal fédéral n'est pas entré en matière sur les griefs se rapportant au revenu de l'épouse, qui ressortissaient en réalité au fait et, en conséquence, au recours de droit public (consid. 6); il a dès lors déclaré le recours irrecevable en ce qui concerne la contribution à l'entretien de l'épouse. Il a admis le recours et annulé l'arrêt cantonal s'agissant du capital et de la rente allouée à l'épouse au titre de lacune de prévoyance, car la cour cantonale avait calculé l'avoir de prévoyance que le mari aurait pu se constituer pendant le mariage sur la base de son salaire théorique (correspondant au train de vie de la famille), et non pas en considération de son épargne effective, voire en tenant compte de la volonté des époux de renoncer à constituer une telle prévoyance en raison de l'héritage du mari ainsi que des expectatives successorales de l'épouse, accord impliquant un engagement conventionnel d'entretenir cette dernière après sa retraite (consid. 8.2 et 8.3). Dans ces conditions, la demande de révision apparaît irrecevable tant à l'égard de l'arrêt sur le recours de droit public qu'à l'égard de l'arrêt sur le recours en réforme. La décision cantonale est demeurée en force en ce qui touche la contribution à l'entretien de l'épouse. La question de savoir si le requérant doit agir par la voie de la révision cantonale, parce que les faits et moyens de preuve n'auraient pas pu être invoqués dans la procédure précédente puisqu'ils n'étaient pas connus du requérant malgré toute sa diligence (supra, consid. 2.2), ou celle d'une nouvelle action, en l'espèce d'une action en modification du jugement de divorce (cf. art. 129 et 134 CC ), parce que les faits se sont produits à un moment où de nouveaux faits ou preuves ne pouvaient plus être produits dans la procédure principale cantonale, n'a pas à être résolue ici. Quant au revenu réalisé par l'épouse en 2004, 2005 et 2006, il n'est pas pertinent pour le calcul de la compensation qui lui est due pour la lacune de prévoyance correspondant à la durée du mariage.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