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667</w:t>
      </w:r>
    </w:p>
    <w:p>
      <w:r>
        <w:t>Bundesgericht (BGE), 2008-10-21, DE</w:t>
      </w:r>
    </w:p>
    <w:p>
      <w:r>
        <w:rPr>
          <w:b/>
        </w:rPr>
        <w:t xml:space="preserve">Quelle: </w:t>
      </w:r>
      <w:r>
        <w:t>https://mcp.opencaselaw.ch/entscheid/bge_BGE_134_III_667</w:t>
      </w:r>
    </w:p>
    <w:p>
      <w:r>
        <w:t>FR: ATF 134 III 667</w:t>
      </w:r>
    </w:p>
    <w:p>
      <w:r>
        <w:t>IT: DTF 134 III 667</w:t>
      </w:r>
    </w:p>
    <w:p>
      <w:pPr>
        <w:pStyle w:val="Heading2"/>
      </w:pPr>
      <w:r>
        <w:t>Regeste</w:t>
      </w:r>
    </w:p>
    <w:p>
      <w:r>
        <w:t>Regeste Art. 177 ZGB; Art. 98 i.V.m. Art. 46 Abs. 2 BGG; Anweisungen an die Schuldner; Fristenlauf. Die Schuldneranweisung gemäss den Bestimmungen zum Schutz der ehelichen Gemeinschaft ist eine vorsorgliche Massnahme, so dass der gesetzliche Fristenstillstand für die Beschwerdeführung beim Bundesgericht nicht gilt (E. 1).</w:t>
      </w:r>
    </w:p>
    <w:p>
      <w:r>
        <w:t>Regeste Art. 177 CC; art. 98 en relation avec l'art. 46 al. 2 LTF; avis aux débiteurs; délai. L'avis aux débiteurs selon les dispositions visant à assurer la protection de l'union conjugale est une mesure provisionnelle, de sorte que la suspension des délais prévue par la loi pour déposer un recours auprès du Tribunal fédéral n'est pas applicable (consid. 1).</w:t>
      </w:r>
    </w:p>
    <w:p>
      <w:r>
        <w:t>Regesto Art. 177 CC; art. 98 in relazione con l'art. 46 cpv. 2 LTF; diffida ai debitori; termine. La diffida ai debitori giusta le norme sulla protezione dell'unione coniugale è una misura provvisionale, di modo che la sospensione dei termini prevista dalla legge per depositare un ricorso al Tribunale federale non è applicabile (consid. 1).</w:t>
      </w:r>
    </w:p>
    <w:p>
      <w:pPr>
        <w:pStyle w:val="Heading2"/>
      </w:pPr>
      <w:r>
        <w:t>Erwägungen</w:t>
      </w:r>
    </w:p>
    <w:p>
      <w:r>
        <w:rPr>
          <w:b/>
        </w:rPr>
        <w:t>E. 1.1</w:t>
      </w:r>
    </w:p>
    <w:p>
      <w:r>
        <w:t>Bei der Schuldneranweisung gemäss Art. 177 ZGB handelt es sich nicht um eine Zivilsache, sondern um eine privilegierte Zwangsvollstreckungsmassnahme sui generis ( BGE 110 II 9 E. 1 und 2 S. 12 ff.; BGE 130 III 489 E. 1 S. 491), welche allerdings in unmittelbarem Zusammenhang mit dem Zivilrecht steht, so dass die Beschwerde in Zivilsachen grundsätzlich gegeben ist ( Art. 72 Abs. 2 lit. b BGG ). Als Zwangsvollstreckungsmassnahme ist die Schuldneranweisung ein Endentscheid ( Art. 90 BGG ). Wie die andern Massnahmen zum Schutz der Ehe gemäss Art. 172 ff. ZGB ist auch die Anweisung an den Schuldner gemäss Art. 177 ZGB eine vorsorgliche Massnahme im Sinne von Art. 98 BGG , gegen welche ausschliesslich die Verletzung verfassungsmässiger Rechte gerügt werden kann ( BGE 133 III 393 E. 5 S. 396).</w:t>
      </w:r>
    </w:p>
    <w:p>
      <w:r>
        <w:rPr>
          <w:b/>
        </w:rPr>
        <w:t>E. 1.2</w:t>
      </w:r>
    </w:p>
    <w:p>
      <w:r>
        <w:t>Die Beschwerde gegen einen Entscheid ist innert 30 Tagen nach der Eröffnung der vollständigen Ausfertigung beim Bundesgericht einzureichen ( Art. 100 Abs. 1 BGG ). Der angefochtene Entscheid wurde dem Anwalt des Beschwerdeführers gemäss Zustellcouvert des Kantonsgerichts mit Empfangsvermerk und gemäss Beschwerdeschrift am 4. Juli 2008 zugestellt. Die Beschwerdefrist lief daher am 4. August 2008 aus. Die am 4. September 2008 der schweizerischen Post übergebene Beschwerdeschrift, welche am 5. September 2008 beim Bundesgericht einlangte, ist daher verspätet ( Art. 44 Abs. 1, Art. 45 Abs. 1 und Art. 48 Abs. 1 BGG ).</w:t>
      </w:r>
    </w:p>
    <w:p>
      <w:r>
        <w:rPr>
          <w:b/>
        </w:rPr>
        <w:t>E. 1.3</w:t>
      </w:r>
    </w:p>
    <w:p>
      <w:r>
        <w:t>Der Beschwerdeführer beruft sich auf Art. 46 Abs. 1 lit. b BGG , wonach gesetzliche und richterliche Fristen vom 15. Juli bis und mit dem 15. August stillstehen. Gemäss Absatz 2 derselben Bestimmung gilt diese Vorschrift nicht in Verfahren betreffend vorsorgliche Massnahmen. Diese werden vom Gesetz als dringliche Streitsachen eingestuft und daher vom Fristenstillstand ausgenommen. Die in Art. 46 Abs. 2 und Art. 98 BGG verwendeten Begriffe der vorsorglichen Massnahme sind gleichbedeutend (Urteile 5A_169/2007 vom 21. Juni 2007 E. 3, in: Fampra.ch 2007 S. 953, und 5A_218/2007 vom 7. August 2007 E. 3.2, in: Pra 96/2007 Nr. 138 S. 946; vgl. auch BGE 133 I 270 E. 1.2 S. 273). Gelangt demnach der Fristenstillstand gemäss Art. 46 Abs. 2 BGG nicht zur Anwendung, ist die Beschwerde verspätet und es kann darauf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