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636</w:t>
      </w:r>
    </w:p>
    <w:p>
      <w:r>
        <w:t>Bundesgericht (BGE), 2008-09-23, DE</w:t>
      </w:r>
    </w:p>
    <w:p>
      <w:r>
        <w:rPr>
          <w:b/>
        </w:rPr>
        <w:t xml:space="preserve">Quelle: </w:t>
      </w:r>
      <w:r>
        <w:t>https://mcp.opencaselaw.ch/entscheid/bge_BGE_134_III_636</w:t>
      </w:r>
    </w:p>
    <w:p>
      <w:r>
        <w:t>FR: ATF 134 III 636</w:t>
      </w:r>
    </w:p>
    <w:p>
      <w:r>
        <w:t>IT: DTF 134 III 636</w:t>
      </w:r>
    </w:p>
    <w:p>
      <w:pPr>
        <w:pStyle w:val="Heading2"/>
      </w:pPr>
      <w:r>
        <w:t>Regeste</w:t>
      </w:r>
    </w:p>
    <w:p>
      <w:r>
        <w:t>Regeste Art. 48 quater Abs. 3 Satz 2 aAHVG; Art. 73 Abs. 3 Satz 2 ATSG; Quotenvorrecht/Befriedigungsvorrecht. Der Haftpflichtige kann sich gegenüber dem Sozialversicherungsträger, der seinen Regressanspruch geltend macht, nicht auf das Befriedigungsvorrecht des Geschädigten berufen, wenn er dessen Direktanspruch die Verjährungseinrede entgegenhält (E. 1).</w:t>
      </w:r>
    </w:p>
    <w:p>
      <w:r>
        <w:t>Regeste Art. 48 quater al. 3 phrase 2 aLAVS; art. 73 al. 3 phrase 2 LPGA; droit préférentiel/droit préférentiel de couverture. Le responsable ne peut pas se prévaloir, envers l'assureur social qui exerce son droit de recours, du droit préférentiel de couverture du lésé, lorsqu'il excipe de la prescription de la prétention directe de celui-ci (consid. 1).</w:t>
      </w:r>
    </w:p>
    <w:p>
      <w:r>
        <w:t>Regesto Art. 48 quater cpv. 3 seconda frase vLAVS; art. 73 cpv. 3 seconda frase LPGA; diritto preferenziale/diritto di soddisfazione preferenziale. Nei confronti dell'assicuratore sociale che fa valere il suo diritto di regresso, il responsabile non può prevalersi del diritto di soddisfazione preferenziale del danneggiato, se contro la pretesa diretta avanzata da quest'ultimo solleva l'eccezione di prescrizione (consid. 1).</w:t>
      </w:r>
    </w:p>
    <w:p>
      <w:pPr>
        <w:pStyle w:val="Heading2"/>
      </w:pPr>
      <w:r>
        <w:t>Erwägungen</w:t>
      </w:r>
    </w:p>
    <w:p>
      <w:r>
        <w:rPr>
          <w:b/>
        </w:rPr>
        <w:t>E. 1</w:t>
      </w:r>
    </w:p>
    <w:p>
      <w:r>
        <w:t>Die Beschwerdeführerin hat in der Vereinbarung vom 27. April 2006 sämtliche Anspruchsvoraussetzungen für die von der Beschwerdegegnerin geltend gemachte Regressforderung unwiderruflich anerkannt. Sie hält der Forderung der Beschwerdegegnerin lediglich das Befriedigungsvorrecht gemäss Art. 48 quater Abs. 3 Satz 2 AHVG in der am 29. Januar 1990 geltenden Fassung (aAHVG; AS 1978 S. 401) entgegen (siehe nunmehr Art. 73 Abs. 3 Satz 2 ATSG [SR 830.1]) und wirft der Vorinstanz diesbezüglich eine unzutreffende Rechtsanwendung vor.</w:t>
      </w:r>
    </w:p>
    <w:p>
      <w:r>
        <w:rPr>
          <w:b/>
        </w:rPr>
        <w:t>E. 1.1</w:t>
      </w:r>
    </w:p>
    <w:p>
      <w:r>
        <w:t>Die Vorinstanz hielt zunächst fest, dass die Beschwerdeführerin anerkenne, dass der haftpflichtige Arzt grundsätzlich unbeschränkt hafte, weshalb das Verteilungsvorrecht (Art. 48 quater Abs. 1 aAHVG) im zu beurteilenden Fall keine Rolle spiele. Ausgehend von der Feststellung, dass der haftpflichtrechtlich ausgewiesene Schaden die von der Beschwerdegegnerin erbrachten Leistungen zwar bei weitem übersteige, jedoch die Direktschadenersatzforderung der Geschädigten gegenüber dem haftpflichtigen Arzt verjährt sei und dieser bzw. die Beschwerdeführerin als Haftpflichtversicherer nichts bezahlt hätten, beurteilte die Vorinstanz die Frage, ob sich die Beschwerdeführerin in dieser Situation auf das Befriedigungsvorrecht (Art. 48 quater Abs. 3 aAHVG) der geschädigten Person berufen könne. Die Vorinstanz hielt unter anderem dafür, dass das Befriedigungsvorrecht eine Benachteiligung des Geschädigten verhindern solle und auf dem Gedanken beruhe, dass der Versicherer seinen Versicherten unter anderem Schutz gegen Zahlungsunfähigkeit des Haftpflichtigen BGE 134 III 636 S. 639 zu bieten habe. Dieser Normzweck stehe nicht in Frage, wenn dem Geschädigten lediglich eine nicht gegen den Willen des Schuldners durchsetzbare, verjährte Forderung zustehe und der Haftpflichtige die Einrede der Verjährung tatsächlich erhebe. Die Vorinstanz erwog weiter, dass es beim Befriedigungsvorrecht des Geschädigten um die Reihenfolge unter mehreren Gläubigern gehe, die durchsetzbare Ansprüche auf dasselbe Haftungssubstrat erheben können. Die Frage der Rangfolge stelle sich jedoch gar nicht, wenn der Geschädigte keine erzwingbare Forderung mehr erheben könne. Insoweit verhalte es sich gleich wie bei privilegierten Forderungen im Konkursverfahren, die nicht angemeldet oder abgewiesen werden, womit die darauf entfallende Konkursdividende den nachfolgenden Gläubigern und nicht dem Schuldner zugute käme. Im Übrigen würde es zu einer vom Gesetzgeber nicht beabsichtigten Privilegierung des insolventen und ungenügend versicherten Haftpflichtigen führen, wenn sich der Haftpflichtige und sein Versicherer in der vorliegenden Situation auf das Befriedigungsvorrecht berufen könnten, da sie diesfalls weder die verjährte Schadenersatzforderung des Geschädigten noch die Regressforderung der Sozialversicherung erfüllen müssten, wogegen ein solventer und ausreichend versicherter Haftpflichtiger die Regressforderung allemal zu begleichen hätte. Der Zweck des Befriedigungsvorrechts sei darin zu sehen, eine Benachteiligung des Geschädigten zu verhindern. Da die Geschädigte keinerlei Nachteil erleide, wenn die Beschwerdegegnerin ihre Regressforderung durchsetze, könne sich die Beschwerdeführerin nicht auf das Befriedigungsvorrecht berufen.</w:t>
      </w:r>
    </w:p>
    <w:p>
      <w:r>
        <w:rPr>
          <w:b/>
        </w:rPr>
        <w:t>E. 1.2</w:t>
      </w:r>
    </w:p>
    <w:p>
      <w:r>
        <w:t>Die Beschwerdeführerin bringt hiergegen vor, es sei von einem Befriedigungsvorrecht (Art. 48 quater Abs. 3 aAHVG) ihrerseits auszugehen, da die bei ihr abgeschlossene Berufshaftpflichtversicherung lediglich eine Deckungssumme von Fr. 3 Mio. aufweise, während der Gesamtschaden der Geschädigten weit darüber liege. Soweit ein Geschädigter seinen Direktanspruch gegen den Haftpflichtigen nicht geltend mache bzw. aufgrund der erhobenen Verjährungseinrede nicht mehr geltend machen könne, werde die haftpflichtige Person begünstigt, da die mit einem Geschädigten konkurrierende Sozialversicherung von Anfang an nur in die ihr selbst zustehende Quote subrogieren könne. Aufgrund des klaren Gesetzeswortlauts, so die Beschwerdeführerin weiter, müsse sich die Sozialversicherung die Direktansprüche selbst dann abziehen lassen, wenn gar keine solchen gestellt worden seien. BGE 134 III 636 S. 640</w:t>
      </w:r>
    </w:p>
    <w:p>
      <w:r>
        <w:rPr>
          <w:b/>
        </w:rPr>
        <w:t>E. 1.3.1</w:t>
      </w:r>
    </w:p>
    <w:p>
      <w:r>
        <w:t>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120 II 58 E. 3c S. 62; BGE 117 II 609 E. 11c S. 627, je mit Hinweisen). Das Privileg des Quotenvorrechts soll die geschädigte Person vor ungedecktem Schaden bewahren, jedoch nicht zu ihrer Bereicherung führen ( BGE 131 III 12 E. 7.1 S. 16). Das in Art. 48 quater aAHVG vorgesehene Quotenvorrecht des Geschädigten (siehe nunmehr Art. 73 ATSG ) kann als Verteilungsvorrecht (Abs. 1) oder als Befriedigungs- bzw. Deckungsvorrecht (Abs. 3 Satz 2) zum Tragen kommen (zur Unterscheidung ROLAND SCHAER, Grundzüge des Zusammenwirkens von Schadenausgleichsystemen, Basel/Frankfurt a.M. 1984, Rz. 942). Während das Verteilungsvorrecht dann zum Zug kommt, wenn dem Geschädigten aus rechtlichen Gründen (insbesondere bei blosser Teilhaftung des Haftpflichtigen wegen Selbstverschuldens) nicht die volle Befriedigung zukommt, findet das Befriedigungsvorrecht Anwendung, wenn der Haftpflichtige aus tatsächlichen Gründen (Insolvenz bzw. mangelnde Versicherungsdeckung) nicht in der Lage ist, beide gegen ihn gerichteten Forderungen zu befriedigen (dazu PETER BECK, Zusammenwirken von Schadenausgleichsystemen, in: Münch/Geiser [Hrsg.], Schaden - Haftung - Versicherung, Basel 1999, Rz. 6.138 ff.). Bereits der Umstand, dass dem Quotenvorrecht nur im Rahmen der Leistungskoordination Bedeutung zukommt, lässt es als fragwürdig erscheinen, ein "fiktives Quotenvorrecht" auch für den Fall anzuerkennen, dass der Geschädigte seinen Schadenersatzanspruch infolge Verjährung gar nicht mehr durchsetzen kann. Es ist fraglich, ob in einer solchen Konstellation von einer Konkurrenz des Direktanspruchs des Geschädigten mit dem Subrogationsanspruch des Versicherers gesprochen werden kann, weshalb sich womöglich auch die Frage nach der Rangfolge dieser Ansprüche erübrigt. Wie es sich damit in Bezug auf das Verteilungsvorrecht nach Art. 48 quater Abs. 1 aAHVG (bzw. nunmehr Art. 73 Abs. 1 ATSG ) verhält, kann vorliegend offen bleiben, da der haftpflichtige Arzt unbestritten für den gesamten Schaden aufzukommen hat und ein Quotenvorrecht im Sinne des Verteilungsvorrechts ausser Betracht steht. BGE 134 III 636 S. 641</w:t>
      </w:r>
    </w:p>
    <w:p>
      <w:r>
        <w:rPr>
          <w:b/>
        </w:rPr>
        <w:t>E. 1.3.2</w:t>
      </w:r>
    </w:p>
    <w:p>
      <w:r>
        <w:t>Die Beschwerdeführerin hält dem Regressanspruch der Beschwerdegegnerin einzig das Befriedigungsvorrecht der Geschädigten (Art. 48 quater Abs. 3 Satz 2 aAHVG) entgegen. Danach sind, falls nur ein Teil des vom Haftpflichtigen geschuldeten Ersatzes eingebracht werden kann, daraus zuerst die Ansprüche des Versicherten und seiner Hinterlassenen zu befriedigen. Die Beschwerdeführerin beruft sich vergeblich auf das Befriedigungsvorrecht. Entgegen der Ansicht der Beschwerdeführerin wird die Subrogation bei ungenügendem Haftungssubstrat nicht etwa beschränkt; vielmehr tritt der Sozialversicherer im Umfang der von ihm erbrachten Leistungen vollständig in die Schadenersatzforderung der geschädigten Person ein. Macht der Geschädigte bei ungenügendem Vermögen des Haftpflichtigen seine Ersatzansprüche nicht geltend oder lässt er sie verjähren, so stellt sich die Frage einer Rangordnung zwischen Sozialversicherer und Geschädigtem hinsichtlich der Vermögenswerte des Haftpflichtigen gar nicht. Wie die Beschwerdegegnerin zutreffend vorbringt, ist eine Rangordnung nur dann nötig, wenn mehrere Gläubiger auf ungenügendes Haftungssubstrat greifen können. Kann der Geschädigte seinen Anspruch aufgrund des Eintritts der Verjährung nicht mehr durchsetzen oder macht er seinen Anspruch aus anderen Gründen nicht geltend, so bleibt für eine Rangordnung für den Zugriff auf das Haftungssubstrat kein Raum (im Ergebnis ebenso GHISLAINE FRÉSARD-FELLAY, Le recours subrogatoire de l'assurance-accidents sociale contre le tiers responsable ou son assureur, Diss. Freiburg 2007, Rz. 1121 ff.; FRANÇOIS KOLLY, Le droit préférentiel du lésé, en l'absence de prétention directe de celui-ci - application du droit préférentiel abstrait ou concret?, in: HAVE 2004 S. 305, die allerdings beide zu diesem Schluss kommen, ohne zwischen dem Befriedigungsvorrecht und dem - im vorliegenden Verfahren nicht in Frage stehenden - Quotenvorrecht im Sinne des Verteilungsvorrechts nach Art. 48 quater Abs. 1 aAHVG bzw. Art. 73 Abs. 1 ATSG zu differenzieren). Wie die Vorinstanz zutreffend erwog, spricht der Wortlaut von Art. 48 quater Abs. 3 Satz 2 aAHVG dagegen, dass zum geschuldeten Ersatz, der nur teilweise "eingebracht" werden kann, auch Ersatzansprüche des Versicherten bzw. seiner Hinterlassenen gezählt werden, die verjährt sind, zumal der letzte Satzteil der Bestimmung voraussetzt, dass das verfügbare Haftungssubstrat zur Auszahlung gelangt und die Ansprüche tatsächlich erfüllt werden. Muss der BGE 134 III 636 S. 642 Ersatzpflichtige demgegenüber nicht mehr leisten, weil er dem Geschädigten die Verjährungseinrede entgegenhält, so kann von einem nur teilweise "eingebrachten" Ersatz nicht die Rede sein und dem Haftpflichtigen ist es verwehrt, sich auf eine (fiktive) vorgängige Befriedigung des Versicherten zu berufen. Dass einem Schädiger gegenüber dem Geschädigten Ansprüche in auch nur annähernd gleicher Höhe zustehen und der Geschädigte daher die verjährten Schadenersatzansprüche zur Verrechnung bringen kann ( Art. 120 Abs. 3 OR ), ist zwar ein denkbarer, aber kein Ausnahmefall, mit dem ernsthaft zu rechnen ist. Der betreffende Einwand der Beschwerdeführerin verfängt daher nicht. Das Befriedigungsvorrecht des Geschädigten beruht auf dem Gedanken, dass der Versicherer seinen Versicherten unter anderem Schutz gegen Zahlungsunfähigkeit des Haftpflichtigen zu bieten hat (OFTINGER/STARK, Schweizerisches Haftpflichtrecht, Bd. I: Allgemeiner Teil, 5. Aufl., Zürich 1995, § 11 Rz. 201; FRÉSARD-FELLAY, a.a.O., Rz. 1076; SCHAER, a.a.O., Rz. 794). Kann die Direktforderung gegenüber dem Haftpflichtigen nicht mehr durchgesetzt werden, da dieser ihr die Verjährungseinrede entgegenhält, so erübrigt sich ein Schutz des Geschädigten gegen Insolvenz und es steht der Durchsetzung des Regressanspruchs des Sozialversicherers nichts entgegen. Die Vorinstanz hat demnach kein Bundesrecht verletzt, wenn sie die Klage der Beschwerdegegnerin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