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385</w:t>
      </w:r>
    </w:p>
    <w:p>
      <w:r>
        <w:t>Bundesgericht (BGE), 2008-01-01, DE</w:t>
      </w:r>
    </w:p>
    <w:p>
      <w:r>
        <w:rPr>
          <w:b/>
        </w:rPr>
        <w:t xml:space="preserve">Quelle: </w:t>
      </w:r>
      <w:r>
        <w:t>https://mcp.opencaselaw.ch/entscheid/bge_BGE_134_III_385</w:t>
      </w:r>
    </w:p>
    <w:p>
      <w:r>
        <w:t>FR: ATF 134 III 385</w:t>
      </w:r>
    </w:p>
    <w:p>
      <w:r>
        <w:t>IT: DTF 134 III 385</w:t>
      </w:r>
    </w:p>
    <w:p>
      <w:pPr>
        <w:pStyle w:val="Heading2"/>
      </w:pPr>
      <w:r>
        <w:t>Regeste</w:t>
      </w:r>
    </w:p>
    <w:p>
      <w:r>
        <w:t>Regeste Kombinierte Beistandschaft (Art. 392 Ziff. 1 und Art. 393 Ziff. 2 ZGB). Eine wegen eines altersbedingten Schwächezustandes schutz-, vertretungs- und betreuungsbedürftige Person ist unter (kombinierte) Beistandschaft zu stellen, wenn sie zwar zwei Personen eine Generalvollmacht erteilt hat, jedoch nicht jederzeit in der Lage ist, die Bevollmächtigten wenigstens grundsätzlich zu kontrollieren und zu überwachen und nötigenfalls auch zu ersetzen (E. 3 und 4).</w:t>
      </w:r>
    </w:p>
    <w:p>
      <w:r>
        <w:t>Regeste Curatelle combinée (art. 392 ch. 1 et art. 393 ch. 2 CC). Celui qui, pour cause d'état de faiblesse dû à l'âge, nécessite protection, représentation et assistance, doit être placé sous curatelle (combinée) alors même qu'il a accordé une procuration générale à deux personnes, s'il n'est pas en tout temps à même de contrôler et de surveiller, du moins en principe, ses représentants, ainsi que de les remplacer au besoin (consid. 3 et 4).</w:t>
      </w:r>
    </w:p>
    <w:p>
      <w:r>
        <w:t>Regesto Curatela combinata (art. 392 n. 1 e art. 393 n. 2 CC). Una persona che a causa di uno stato di debolezza dovuto all'età necessita di protezione, rappresentanza e assistenza è da porre sotto una curatela (combinata) anche quando ha conferito a due persone una procura generale, ma non è sempre in grado, almeno in linea di principio, di controllare e sorvegliare i rappresentanti e se necessario di sostituirli (consid. 3 e 4).</w:t>
      </w:r>
    </w:p>
    <w:p>
      <w:pPr>
        <w:pStyle w:val="Heading2"/>
      </w:pPr>
      <w:r>
        <w:t>Erwägungen</w:t>
      </w:r>
    </w:p>
    <w:p>
      <w:r>
        <w:rPr>
          <w:b/>
        </w:rPr>
        <w:t>E. 3.1</w:t>
      </w:r>
    </w:p>
    <w:p>
      <w:r>
        <w:t>Das Obergericht stellt im Beschluss vom 12. Dezember 2007 in tatsächlicher Hinsicht fest, dass beim Beschwerdegegner ein Schwächezustand in Form einer altersbedingten kognitiven und körperlichen Einschränkung bestehe, was eine entsprechende Schutz-, Vertretungs- und Betreuungsbedürftigkeit zur Folge habe. Die nötige Betreuung und Vertretung werde sowohl im persönlichen wie auch im administrativen und finanziellen Bereich durch Familienangehörige und durch ihn Bevollmächtigte gewährleistet. Die persönliche Betreuung werde durch drei Pflegefachfrauen, den langjährigen Privatchauffeur und nunmehr auch seine beiden Töchter umfassend sichergestellt; der Beschwerdegegner werde auch nach seinem eigenen Dafürhalten bestens umsorgt. Der Lebensunterhalt werde zur Zeit von den beiden Töchtern bestritten, da es dem Beschwerdegegner, der wohl über ein sehr grosses Vermögen verfüge, offenbar an der nötigen Liquidität fehle. Den administrativen und finanziellen Bereich besorgten die vom Beschwerdegegner Bevollmächtigten: seine Tochter F. und Rechtsanwalt R. Im Rahmen der ärztlichen Abklärungen sei Dr. H. zum Schluss gelangt, der Beschwerdegegner sei bezüglich der Erteilung der betreffenden Generalvollmachten als voll urteilsfähig zu bezeichnen, auch wenn er nicht in der Lage sei, die BGE 134 III 385 S. 388 bevollmächtigten Personen zu kontrollieren; er habe diese Vollmachten gerade deshalb erteilt, weil er seine bevollmächtigte Ehefrau, die Beschwerdeführerin, nicht mehr zu kontrollieren vermöge und er durch die gegenseitige Kontrolle einen angemessenen Schutz seiner Interessen erwarte. Abschliessend stellt die Vorinstanz fest, es beruhe auf dem eigenen Willen des seit dem 6. April 2006 von seiner Ehefrau, der Beschwerdeführerin, getrennt lebenden Beschwerdegegners, dass er mit dieser und dem gemeinsamen Sohn, dem Beschwerdeführer, keinen Kontakt mehr pflege.</w:t>
      </w:r>
    </w:p>
    <w:p>
      <w:r>
        <w:rPr>
          <w:b/>
        </w:rPr>
        <w:t>E. 3.2</w:t>
      </w:r>
    </w:p>
    <w:p>
      <w:r>
        <w:t>In rechtlicher Hinsicht hält das Obergericht dafür, dass die Frage der Urteilsfähigkeit des Beschwerdegegners bezüglich seines Trennungs- bzw. Scheidungswunsches und weiterer konkreter rechtserheblicher Handlungen in dem von ihm angestrengten Eheschutzverfahren bzw. in den weiteren bereits hängigen zivilrechtlichen Verfahren zu klären sein werde. Vormundschaftsbehörde und Bezirksrat hätten unter den gegebenen Umständen zu Recht von der Anordnung vormundschaftlicher Massnahmen abgesehen. Solche seien nicht dazu da, persönliche Interessen Dritter zu schützen. Von einem Betagtenmissbrauch, wie er von der Beschwerdeführerin geltend gemacht werde, könne keine Rede sein. Sollte die Vormundschaftsbehörde in der Zukunft konkret von Missbräuchen oder von einer Gefährdung der Interessen des Beschwerdegegners Kenntnis erhalten, hätte sie dann allerdings einzuschreiten.</w:t>
      </w:r>
    </w:p>
    <w:p>
      <w:r>
        <w:rPr>
          <w:b/>
        </w:rPr>
        <w:t>E. 4.1</w:t>
      </w:r>
    </w:p>
    <w:p>
      <w:r>
        <w:t>Den dargelegten tatsächlichen Feststellungen ist zu entnehmen, dass der Beschwerdegegner in verschiedener Hinsicht hilfsbedürftig ist. Was seine rein persönlichen Bedürfnisse betrifft, so ziehen die Beschwerdeführer die Auffassung des Obergerichts, es sei eine umfassende Betreuung sichergestellt, nicht in Zweifel. Aus dieser Sicht besteht denn auch in der Tat kein Anlass zur Anordnung vormundschaftlicher Massnahmen.</w:t>
      </w:r>
    </w:p>
    <w:p>
      <w:r>
        <w:rPr>
          <w:b/>
        </w:rPr>
        <w:t>E. 4.2</w:t>
      </w:r>
    </w:p>
    <w:p>
      <w:r>
        <w:t>Hinsichtlich der geschäftlichen und finanziellen Belange erachtet die Vorinstanz die Unterstützung des Beschwerdegegners durch F. und Rechtsanwalt R. ebenfalls für ausreichend: Es bestünden keine Anhaltspunkte dafür, dass die beiden ihren Auftrag nicht korrekt wahrgenommen hätten, und das Gegenteil sei auch nicht konkret behauptet worden. Wo die Interessenwahrung wie hier nach den Feststellungen der Vorinstanz ausschliesslich bei bevollmächtigten Personen liegt, ist eine vormundschaftliche Hilfe indessen nur dann entbehrlich, wenn der hilfsbedürftige Vollmachtgeber jederzeit in der BGE 134 III 385 S. 389 Lage ist, die von ihm eingesetzten Personen wenigstens grundsätzlich zu kontrollieren und zu überwachen und nötigenfalls auch zu ersetzen (dazu BGE 58 II 12 E. 2 S. 16 f.; BGE 51 II 103 S. 106 f.; Entscheid des Regierungsrates des Kantons St. Gallen vom 14. Mai 1985, in: ZVW 1986 S. 40; BERNHARD SCHNYDER/ERWIN MURER, Berner Kommentar, N. 84 zu Art. 372 sowie N. 48 und 53 zu Art. 392 ZGB ). Wie die Beschwerdeführer mit Recht bemerken, ist eine derartige Überwachungsmöglichkeit beim Beschwerdegegner nicht gewährleistet: So gelangte Dr. H. zum Schluss, der Beschwerdegegner sei nicht in der Lage, die bevollmächtigten Personen zu kontrollieren. Auch der Beschwerdegegner selbst hat auf eine entsprechende Frage bei der Anhörung durch das Obergericht eingeräumt, die Bevollmächtigten nicht kontrollieren zu können, wobei er erklärte, er habe ja auch noch eine Treuhandgesellschaft, die die Dinge überprüfe. Zu bedenken ist ferner, dass eine allfällige gegenseitige Kontrolle der bevollmächtigten Personen unter sich eine Überwachung durch den Beschwerdegegner nicht etwa zu ersetzen vermöchte, würde jene doch keine Gewähr dafür bieten, dass tatsächlich dessen Interessen verfolgt werden. Ungenügend ist auch die vom Obergericht ins Auge gefasste Kontrolle durch die Vormundschaftsbehörde, wäre doch letztere nach dem Konzept der Vorinstanz darauf angewiesen, von allfälligen Missbräuchen oder von einer Gefährdung der Interessen des Beschwerdegegners zuerst Kenntnis zu erhalten. Selbst dann, wenn die Vormundschaftsbehörde von Zeit zu Zeit von sich aus Abklärungen träfe (vgl. SCHNYDER/MURER, a.a.O., N. 169 zu Art. 369 ZGB ), wäre dies hier angesichts der Komplexität der Verhältnisse im geschäftlichen Bereich unzureichend (vgl. SCHNYDER/MURER, a.a.O., N. 61 zu Art. 361 ZGB ). Schliesslich ist darauf hinzuweisen, dass die obergerichtlichen Feststellungen vor allem auch im Zusammenhang mit der Frage des Kontakts zum Beschwerdeführer auf einen gewissen Wankelmut des Beschwerdegegners schliessen lassen.</w:t>
      </w:r>
    </w:p>
    <w:p>
      <w:r>
        <w:rPr>
          <w:b/>
        </w:rPr>
        <w:t>E. 4.3</w:t>
      </w:r>
    </w:p>
    <w:p>
      <w:r>
        <w:t>Die gegebenen Umstände erfordern eine vormundschaftliche Massnahme. Einer solchen hatte der Beschwerdegegner anlässlich seiner Anhörung im obergerichtlichen Verfahren übrigens keineswegs ablehnend gegenübergestanden: Er erklärte vielmehr, dass er einen Beistand, der auf seiner Linie wäre, akzeptieren würde, und pflichtete ausserdem der Feststellung der Referentin, dass er also vormundschaftliche Massnahmen nicht rundweg ablehne, bei. Es mag dahingestellt bleiben, ob aufgrund dieser Äusserungen des Beschwerdegegners nicht gar der Tatbestand der Beistandschaft auf eigenes BGE 134 III 385 S. 390 Begehren ( Art. 394 ZGB ) vorgelegen habe, zumal ein derartiges Begehren nicht notwendigerweise auf eigenen Antrieb gestellt worden sein muss (vgl. BGE 106 II 298 E. 2 S. 301 zur Errichtung einer Vormundschaft auf eigenes Begehren). In Anbetracht der von der Vorinstanz festgestellten tatsächlichen Gegebenheiten sind auf jeden Fall die Voraussetzungen für die Anordnung einer - in ihren Auswirkungen der Beistandschaft auf eigenes Begehren entsprechenden - kombinierten Beistandschaft im Sinne von Art. 392 Ziff. 1 (Vertretungsbeistandschaft) und Art. 393 Ziff. 2 ZGB (Verwaltungsbeistandschaft), wie sie gerade auch bei älteren Menschen als angemessene Vorkehr erscheint (dazu SCHNYDER/MURER, a.a.O., N. 169 zu Art. 369 ZGB ; HANS MICHAEL RIEMER, Vormundschaftliche Hilfe für Betagte, in: ZVW 1982 S. 123, und Grundriss des Vormundschaftsrechts, 2. Aufl., Zürich 1997, § 6 N. 34a),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