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37</w:t>
      </w:r>
    </w:p>
    <w:p>
      <w:r>
        <w:t>Bundesgericht (BGE), 2007-01-01, FR</w:t>
      </w:r>
    </w:p>
    <w:p>
      <w:r>
        <w:rPr>
          <w:b/>
        </w:rPr>
        <w:t xml:space="preserve">Quelle: </w:t>
      </w:r>
      <w:r>
        <w:t>https://mcp.opencaselaw.ch/entscheid/bge_BGE_134_III_37</w:t>
      </w:r>
    </w:p>
    <w:p>
      <w:r>
        <w:t>FR: ATF 134 III 37</w:t>
      </w:r>
    </w:p>
    <w:p>
      <w:r>
        <w:t>IT: DTF 134 III 37</w:t>
      </w:r>
    </w:p>
    <w:p>
      <w:pPr>
        <w:pStyle w:val="Heading2"/>
      </w:pPr>
      <w:r>
        <w:t>Regeste</w:t>
      </w:r>
    </w:p>
    <w:p>
      <w:r>
        <w:t>Regeste Art. 144 Abs. 3 SchKG; Berücksichtigung von Einkommenssteuern im Rahmen einer Pfändung. Die Einkommenssteuern sind keine Verwertungskosten im Sinne von Art. 144 Abs. 3 SchKG und folglich nicht vom Bruttoerlös der Pfändung abzuziehen, bevor die Verteilung an die Betreibungsgläubiger stattfindet (E. 4).</w:t>
      </w:r>
    </w:p>
    <w:p>
      <w:r>
        <w:t>Regeste Art. 144 al. 3 LP; sort des impôts sur le revenu dans le cadre d'une saisie. Les impôts sur le revenu ne sont pas des frais de réalisation au sens de l'art. 144 al. 3 LP et, partant, ne doivent pas être déduits du produit brut de la saisie avant la distribution des deniers aux créanciers poursuivants (consid. 4).</w:t>
      </w:r>
    </w:p>
    <w:p>
      <w:r>
        <w:t>Regesto Art. 144 cpv. 3 LEF; considerazione delle imposte sul reddito nell'ambito di un pignoramento. Le imposte sul reddito non costituiscono spese di realizzazione nel senso dell'art. 144 cpv. 3 LEF e non devono pertanto essere dedotte dal prodotto lordo del pignoramento prima della distribuzione ai creditori interessati (consid. 4).</w:t>
      </w:r>
    </w:p>
    <w:p>
      <w:pPr>
        <w:pStyle w:val="Heading2"/>
      </w:pPr>
      <w:r>
        <w:t>Erwägungen</w:t>
      </w:r>
    </w:p>
    <w:p>
      <w:r>
        <w:rPr>
          <w:b/>
        </w:rPr>
        <w:t>E. 4</w:t>
      </w:r>
    </w:p>
    <w:p>
      <w:r>
        <w:t>La recourante se plaint d'une violation de l' art. 144 al. 3 LP . Selon elle, les impôts sur le revenu doivent être considérés comme des frais de réalisation au sens de cette disposition; à ce titre, ils doivent être déduits du produit brut de la saisie avant la distribution des deniers aux créanciers poursuivants.</w:t>
      </w:r>
    </w:p>
    <w:p>
      <w:r>
        <w:rPr>
          <w:b/>
        </w:rPr>
        <w:t>E. 4.1</w:t>
      </w:r>
    </w:p>
    <w:p>
      <w:r>
        <w:t>En vertu de l' art. 144 al. 3 LP , le produit de la réalisation sert en premier lieu à couvrir les frais d'administration, de réalisation, de distribution et, le cas échéant, d'acquisition d'un objet de remplacement ( art. 92 al. 3 LP ). Les frais qui doivent être couverts en premier lieu par le produit de la réalisation sont notamment les frais de garde des meubles (art. 26 de l'ordonnance du 23 septembre 1996 sur les émoluments perçus en application de la loi fédérale sur la poursuite pour dettes et la faillite; [RS 281.35; ci-après: OELP]), de gérance des immeubles ( art. 27 OELP ), de l'état des charges et des conditions d'enchères ( art. 29 OELP ), des enchères publiques, des réalisations de gré à gré et des liquidations ( art. 30 OELP ), des communications au conservateur du registre foncier après la réalisation ( art. 32 OELP ), de recouvrement et de versement aux poursuivants ( art. 33 OELP ), d'état de collocation et de tableau de distribution ( art. 34 OELP ), de cession de créance et de mandat de recouvrement ( art. 35 OELP ), ainsi que les frais en relation avec l'avis de la réquisition de réalisation donné au débiteur ( art. 120 LP ; GILLIÉRON, Commentaire de la loi fédérale sur la poursuite pour dettes et la faillite, vol. 2, 2000, n. 24 ad art. 144 BGE 134 III 37 S. 40 LP ; STAEHELIN/BAUER/STAEHLIN, Kommentar zum Bundesgesetz über Schuldbetreibung und Konkurs, vol. 2, n. 47 ad art. 144 LP ). Il s'agit par conséquent de frais liés directement à la procédure de réalisation, soit des émoluments perçus par l'Office des poursuites conformément à l'OELP pour le travail de ses employés ainsi que pour les dépenses occasionnées par les avis, frais de port, etc. (INGRID JENT-SORENSEN, Grundstücksgewinnsteuern und Gewinnanteilsrecht der Miterben in der Zwangsverwertung von Grundstücken, in BlSchK 1998 p. 123 ss, 130-131). En d'autres termes, ces frais doivent être nécessaires à l'application de la LP (cf. DALLÈVES/ERARD-GILLIOZ, Poursuites pour dettes et faillite 1996-1999, in RSDA 2000 p. 44; DENISE ZINGG, Die Mehrwertsteuer in der Zwangsvollstreckung, in Festschrift SRK, p. 297 ss, 313). A ce titre, dès lors que les impôts sur le revenu n'ont aucun lien avec la procédure d'exécution forcée, on ne voit pas en quoi ils devraient être considérés comme des frais de réalisation au sens de l' art. 144 al. 3 LP . La prise en compte des dettes d'impôts dans les frais de réalisation de la saisie reviendrait en sus à conférer un privilège à l'Etat et serait ainsi contraire au principe d'égalité entre les créanciers de droit privé et de droit public ( ATF 120 III 20 consid. 2 et les références citées).</w:t>
      </w:r>
    </w:p>
    <w:p>
      <w:r>
        <w:rPr>
          <w:b/>
        </w:rPr>
        <w:t>E. 4.2</w:t>
      </w:r>
    </w:p>
    <w:p>
      <w:r>
        <w:t>La recourante se réfère en vain aux arrêts publiés aux ATF 120 III 128 et ATF 122 III 246 . Dans ces arrêts, qui concernent respectivement une faillite et une poursuite en réalisation de gage, le Tribunal fédéral a admis de considérer l'impôt sur les gains immobiliers comme dettes de la masse, respectivement frais de réalisation au sens de l' art. 157 al. 1 LP et de les payer avant toute répartition aux créanciers. Si l'on peut admettre que ces impôts ont leur origine dans l'adjudication qui a lieu dans le cadre de l'exécution forcée, il n'en va pas de même des impôts sur le revenu qui n'ont aucun lien avec cette procédure. Pour la même raison, l' ATF 120 III 152 , dans lequel le Tribunal fédéral a estimé que, dans la procédure de faillite, les impôts sur les gains immobiliers et sur le bénéfice en capital comptent parmi les dettes de la masse au sens de l' art. 262 al. 2 LP n'est pas déterminant pour le cas d'espèce. De même, l' ATF 129 III 200 que la recourante cite également à l'appui de sa thèse, ne lui est d'aucun secours. Dans cet arrêt, le Tribunal fédéral a jugé que, dans le cadre d'une faillite, la taxe sur la valeur ajoutée due lors de la réalisation d'un immeuble doit être couverte en BGE 134 III 37 S. 41 premier lieu par le produit de la vente de l'immeuble concerné. Cette situation diffère du cas d'espèce, dans la mesure où la taxe sur la valeur ajoutée, outre qu'elle a pour cause un fait qui s'est produit après l'ouverture de la faillite, a son fondement dans la liquidation de la masse en faillite effectuée dans la procédure d'exécution forcée (ATF précité consid. 2.1). Tel n'est pas le cas des impôts directs sur le revenu qui naissent indépendamment de dite procédure.</w:t>
      </w:r>
    </w:p>
    <w:p>
      <w:r>
        <w:rPr>
          <w:b/>
        </w:rPr>
        <w:t>E. 4.3</w:t>
      </w:r>
    </w:p>
    <w:p>
      <w:r>
        <w:t>La jurisprudence qui assimile les créances de droit fiscal à des dettes de la masse au sens de l' art. 262 LP n'est pas pertinente en l'espèce pour un autre motif. Dans la faillite, le failli perd le pouvoir d'exercer ses droits patrimoniaux et d'en disposer (dessaisissement; art. 204 al. 1 LP ). En conséquence, les dettes qui naissent après l'ouverture de la faillite, sont des dettes de la masse qui doivent être payées intégralement sur le produit brut de la réalisation des biens, avant la répartition aux créanciers ( art. 262 al. 1 LP ; ATF 96 I 246 ). C'est la masse en faillite et non le créancier poursuivi qui répond du paiement de ces dettes. En revanche, la procédure d'exécution spéciale qu'est la saisie, laquelle tend à la réalisation de certains biens, ne modifie pas la position du poursuivi vis-à-vis du fisc, dont il reste le débiteur (WERNER BEILSTEIN, Privilegierte Behandlung von Grundstückgewinnsteuer und Mehrwertsteuer in der Zwangsvollstreckung, in L'Expert-comptable suisse 2003 p. 653 ss, 655; cf. ATF 69 III 41 ). Or, le Tribunal fédéral a toujours refusé de prendre en compte les dettes d'impôt dans le calcul du minimum vital du débiteur afin d'éviter de conférer un privilège à l'Etat et de contrevenir au principe d'égalité des créanciers de droit privé et de droit public ( art. 93 LP ; ATF 95 III 39 consid. 3 confirmé plus récemment dans l'arrêt 7B.221/2003 du 17 novembre 2003, consid. 2). Dans ces conditions, considérer les impôts sur le revenu comme des frais de réalisation au sens de l' art. 144 al. 3 LP pour qu'ils soient versés au fisc en priorité, désavantageant ainsi les créanciers privés, reviendrait à vider de sens cette jurisprudence.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