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348</w:t>
      </w:r>
    </w:p>
    <w:p>
      <w:r>
        <w:t>Bundesgericht (BGE), 2008-04-08, DE</w:t>
      </w:r>
    </w:p>
    <w:p>
      <w:r>
        <w:rPr>
          <w:b/>
        </w:rPr>
        <w:t xml:space="preserve">Quelle: </w:t>
      </w:r>
      <w:r>
        <w:t>https://mcp.opencaselaw.ch/entscheid/bge_BGE_134_III_348</w:t>
      </w:r>
    </w:p>
    <w:p>
      <w:r>
        <w:t>FR: ATF 134 III 348</w:t>
      </w:r>
    </w:p>
    <w:p>
      <w:r>
        <w:t>IT: DTF 134 III 348</w:t>
      </w:r>
    </w:p>
    <w:p>
      <w:pPr>
        <w:pStyle w:val="Heading2"/>
      </w:pPr>
      <w:r>
        <w:t>Regeste</w:t>
      </w:r>
    </w:p>
    <w:p>
      <w:r>
        <w:t>Regeste Hinterlegung bei unverschuldeter Ungewissheit über die Person des Gläubigers (Art. 96 und 168 Abs. 1 OR). Sind nach Wahl des Gläubigers alternativ verschiedene Leistungen geschuldet, kann der Schuldner bei unverschuldeter Ungewissheit über die Person des Gläubigers sämtliche wahlweise geschuldeten Leistungen hinterlegen. Dass die Ansprecher nicht dieselbe Leistung verlangen, steht in diesem Fall einer Hinterlegung nicht entgegen (E. 5).</w:t>
      </w:r>
    </w:p>
    <w:p>
      <w:r>
        <w:t>Regeste Consignation en cas d'incertitude non fautive sur la personne du créancier (art. 96 et 168 al. 1 CO). Lorsque diverses prestations sont dues alternativement au choix du créancier, le débiteur qui se trouve sans sa faute dans l'incertitude au sujet de la personne du créancier peut consigner l'objet de toutes les prestations dues à titre alternatif. Que les ayants droit ne réclament pas la même prestation ne fait pas obstacle, dans ce cas, à une consignation (consid. 5).</w:t>
      </w:r>
    </w:p>
    <w:p>
      <w:r>
        <w:t>Regesto Deposito in caso di incertezza non colposa sulla persona del creditore (art. 96 e 168 cpv. 1 CO). Quando sono dovute alternativamente a scelta del creditore prestazioni diverse, il debitore che senza colpa è incerto sulla persona del creditore può depositare tutte le prestazioni dovute alternativamente. Il fatto che i pretendenti non reclamino la medesima prestazione non è in questo caso d'ostacolo al deposito (consid. 5).</w:t>
      </w:r>
    </w:p>
    <w:p>
      <w:pPr>
        <w:pStyle w:val="Heading2"/>
      </w:pPr>
      <w:r>
        <w:t>Erwägungen</w:t>
      </w:r>
    </w:p>
    <w:p>
      <w:r>
        <w:rPr>
          <w:b/>
        </w:rPr>
        <w:t>E. 5</w:t>
      </w:r>
    </w:p>
    <w:p>
      <w:r>
        <w:t>Die Vorinstanz verneinte die Zulässigkeit der Hinterlegung des Rückkaufswerts, weil die behaupteten Ansprüche gegenüber der Beschwerdeführerin nicht identisch seien. Die Ansprüche unterscheiden sich nach Auffassung der Vorinstanz nicht nur in den Auszahlungsmodalitäten, sondern können auch in der Höhe divergieren. Der Rückkaufswert lasse sich erst im Zeitpunkt der Auflösung berechnen. Zudem bestehe keine Ungewissheit über die Person des Gläubigers, sondern über die Existenz der Forderung. Entweder bestünden die Rentenforderungen des Beschwerdegegners 2 oder aber die Rückkaufsforderung der Beschwerdegegnerin 1.</w:t>
      </w:r>
    </w:p>
    <w:p>
      <w:r>
        <w:rPr>
          <w:b/>
        </w:rPr>
        <w:t>E. 5.1</w:t>
      </w:r>
    </w:p>
    <w:p>
      <w:r>
        <w:t>Sowohl Art. 96 OR als auch Art. 168 OR setzten im hier interessierenden Zusammenhang voraus, dass eine unverschuldete Ungewissheit über die Person des Gläubigers besteht. Die Vorinstanz verweist auf die Lehrmeinung, wonach, wenn zwei oder mehrere angebliche Gläubiger aus verschiedenen Rechtsgründen vom Schuldner eine Leistung verlangten (z.B. der Verkäufer die Rückgabe, der angeblich bestohlene Eigentümer die Herausgabe einer Sache), keine Ungewissheit über die Person des Gläubigers bestehe, da es sich nicht um dieselbe Forderung handle. Vielmehr sei diesfalls strittig, ob eine Forderung besteht (SCHRANER, Zürcher Kommentar, N. 17 und 19 zu Art. 96 OR mit Hinweisen). Die Beschwerdeführerin beruft sich dagegen auf jene Lehrmeinung, nach der nicht massgeblich ist, ob die verschiedenen Ansprecher gleichartige Rechte geltend machen oder nicht, so wenn der eine Schadenersatz und der andere Realerfüllung verlangt. Erforderlich sei aber, dass der Schuldner hinterlege, was er wirklich schulde (BECKER, Berner Kommentar, N. 8 zu Art. 168 OR ).</w:t>
      </w:r>
    </w:p>
    <w:p>
      <w:r>
        <w:rPr>
          <w:b/>
        </w:rPr>
        <w:t>E. 5.2</w:t>
      </w:r>
    </w:p>
    <w:p>
      <w:r>
        <w:t>Um zu beurteilen, ob eine unverschuldete Ungewissheit über die Person des Gläubigers besteht, welche zur Hinterlegung berechtigt (SCHRANER, a.a.O., N. 6, 17 ff. und 25 zu Art. 96 OR ; WEBER, Berner Kommentar, N. 9 und 17 ff. zu Art. 96 OR ), ist auf die Ansprüche, welche die Parteien geltend machen, näher einzugehen.</w:t>
      </w:r>
    </w:p>
    <w:p>
      <w:r>
        <w:rPr>
          <w:b/>
        </w:rPr>
        <w:t>E. 5.2.1</w:t>
      </w:r>
    </w:p>
    <w:p>
      <w:r>
        <w:t>Gemäss Vertrag hat die Versicherung an die Versicherten Rentenzahlungen auszurichten. Mit Ableben der als Versicherte begünstigten Personen wird als Rückgewähr eine Zahlung entsprechend der Einmalprämie unter Abzug der bereits bezogenen Renten ohne Zinsen an den im Todesfall als Begünstigter eingesetzten Versicherungsnehmer fällig. Da die Begünstigung nicht unwiderruflich ist, kann BGE 134 III 348 S. 351 der Versicherungsnehmer die Begünstigten durch andere ersetzen. Ebenso kann er die Versicherung jederzeit ganz oder teilweise zurückkaufen lassen, mit der Folge, dass die bisherige Deckung erlischt und der Anspruch des Versicherungsnehmers nach versicherungsmathematischen Prinzipien auf die Herausgabe des Rückkaufswertes reduziert wird (AEBI, Basler Kommentar, N. 12 zu Art. 90 VVG ). Der Rückkaufswert entspricht der aktuellen Rückgewährsumme, höchstens aber dem Inventardeckungskapital. Übersteigt Letzteres die Rückgewährsumme, so wird der Differenzbetrag als Inventareinmalprämie für eine Rente ohne Rückgewähr verwendet.</w:t>
      </w:r>
    </w:p>
    <w:p>
      <w:r>
        <w:rPr>
          <w:b/>
        </w:rPr>
        <w:t>E. 5.2.2</w:t>
      </w:r>
    </w:p>
    <w:p>
      <w:r>
        <w:t>Die Leistungen, welche die Beschwerdeführerin in Erfüllung des Vertrages tatsächlich zu erbringen hat, standen bei Vertragsschluss noch nicht definitiv fest. Die vertraglich geschuldete Leistung hängt nicht nur von objektiven Umständen, wie der Lebensdauer der Begünstigten ab, sondern auch vom Willen des Versicherungsnehmers, indem dieser durch empfangsbedürftige einseitige Willenserklärung (vgl. AEBI, a.a.O., N. 4 zu Art. 90 VVG ) bestimmen kann, wer die Versicherungsleistungen erhalten soll und ob weiter die primär geschuldete Leistung zu erbringen ist, nämlich Renten an die Begünstigten zu deren Lebzeiten und nach deren Ableben die Rückgewähr an den Versicherungsnehmer, oder ob der Rückkaufsfall eintreten soll. Im zu beurteilenden Fall ist streitig, ob die Befugnis zur Abgabe einer entsprechenden Willenserklärung von der Erblasserin auf die Beschwerdegegnerin 1 übergegangen ist und deren Willenserklärung Wirkung entfalten kann. Davon hängt ab, welche Leistung zu erbringen ist und wer diese beanspruchen kann.</w:t>
      </w:r>
    </w:p>
    <w:p>
      <w:r>
        <w:rPr>
          <w:b/>
        </w:rPr>
        <w:t>E. 5.2.3</w:t>
      </w:r>
    </w:p>
    <w:p>
      <w:r>
        <w:t>Mit dem vollständigen Rückkauf wird der Vertrag aufgelöst und der Rückkaufswert ausgezahlt. Damit erlischt die Pflicht zur Ausrichtung der Renten. Die unterschiedlichen Leistungen sind nicht kumulativ zu erbringen. Insofern weist das Vertragsverhältnis Analogien zu einer Wahlobligation auf, bei welcher mehrere Leistungen nach Wahl einer Vertragspartei alternativ geschuldet sind (vgl. schon BECKER, a.a.O., N. 1 zu Art. 72 OR ; OSER/SCHÖNENBERGER, Zürcher Kommentar, N. 1 zu Art. 72 OR ). Richtig besehen liegt das Verhältnis näher bei einer alternativen Ermächtigung zu Gunsten des Gläubigers, da dieser anstelle der von Anfang an bestimmten Hauptleistung, der Rentenzahlung an die Begünstigten mit Rückgewähr bei Ableben, eine andere Leistung, nämlich den sofortigen Rückkauf, fordern kann. Auch die alternative Ermächtigung zu Gunsten des Gläubigers folgt indessen im Wesentlichen den Regeln einer BGE 134 III 348 S. 352 Gläubigerwahlschuld (SCHRANER, a.a.O., N. 72 ff. zu Art. 72 OR ). Die Besonderheit, dass der Rentenanspruch im Rahmen eines Dauerschuldverhältnisses erfüllt wird, welches durch die Wahl der anderen Leistung, des vollständigen Rückkaufs, beendet werden kann, spielt für die Frage, ob eine zur Hinterlegung berechtigende Ungewissheit über die Person des Gläubigers besteht, keine Rolle. Massgebend ist vielmehr, dass nach dem Vertrag in Abhängigkeit des dem Versicherungsnehmer eingeräumten Gestaltungsrechts verschiedene Leistungen alternativ geschuldet sind. Aus der Tatsache, dass verschiedene Ansprecher nicht dieselbe Leistung verlangen, kann daher nicht geschlossen werden, es handle sich nicht um dieselbe Forderung. Vielmehr hat diese alternativ unterschiedliche Leistungen zum Gegenstand.</w:t>
      </w:r>
    </w:p>
    <w:p>
      <w:r>
        <w:rPr>
          <w:b/>
        </w:rPr>
        <w:t>E. 5.2.4</w:t>
      </w:r>
    </w:p>
    <w:p>
      <w:r>
        <w:t>Allerdings ist die Hinterlegung erschwert, da nicht von vornherein klar ist, welche der alternativ geschuldeten Leistungen der Schuldner zu hinterlegen hat. Damit der Hinterlegung befreiende Wirkung zukommt, müsste der Schuldner in dieser Situation beide alternativ geschuldeten Leistungen hinterlegen. Die Lehre ist sich darin einig, dass ihm dies grundsätzlich nicht zuzumuten ist (SCHRANER, a.a.O., N. 49 zu Art. 72 OR ; WEBER, a.a.O., N. 50 zu Art. 72 OR , je mit Hinweisen). Im Zusammenhang mit der Wahlobligation wird in der Lehre indessen anerkannt, dass der Schuldner, wenn der wahlberechtigte Gläubiger das ihm zustehende Wahlrecht nicht ausübt, freiwillig sämtliche alternativ geschuldeten Leistungen hinterlegen darf (vgl. schon OSER/SCHÖNENBERGER, a.a.O., N. 11 zu Art. 72 OR ; BUCHER, Schweizerisches Obligationenrecht, Allgemeiner Teil, 2. Aufl., S. 298; WEBER, a.a.O., N. 50 zu Art. 72 OR mit Hinweisen). Mit Blick auf den Schutzgedanken von Art. 96 OR , der den zahlungswilligen Schuldner vor der Gefahr der Doppelzahlung schützen soll (SCHRANER, a.a.O., N. 3, 17 und 18 zu Art. 96 OR ), besteht kein Grund, dem Schuldner zu verwehren, bei Ungewissheit über die Person des Gläubigers sämtliche alternativ geschuldeten Leistungen zu hinterlegen.</w:t>
      </w:r>
    </w:p>
    <w:p>
      <w:r>
        <w:rPr>
          <w:b/>
        </w:rPr>
        <w:t>E. 5.3</w:t>
      </w:r>
    </w:p>
    <w:p>
      <w:r>
        <w:t>Die Beschwerdeführerin anerkennt, dass die vertraglich vereinbarte Leistung geschuldet ist, und will ihren entsprechenden Pflichten nachkommen. Insoweit ist nicht die Existenz der Forderung streitig. Umstritten ist, ob die vertraglich noch geschuldete Leistung aufgrund der ursprünglichen Begünstigung dem Beschwerdegegner 2 beziehungsweise der Beschwerdegegnerin 3 oder kraft Rückkaufserklärung der Beschwerdegegnerin 1 als Rechtsnachfolgerin der BGE 134 III 348 S. 353 Erblasserin zusteht. Zwar ist klar, dass die Begünstigten keinen Anspruch auf Rückgewähr erheben können, denn dieser wird erst bei ihrem Ableben fällig, während sie selbst nur im Erlebensfall begünstigt sind. Da aber die zu leistenden Renten von einem allfälligen Rückgewährsanspruch abzuziehen sind und dieser erst bei Ableben der Begünstigten fällig würde, bleibt es dabei, dass sich die ursprünglich vereinbarten und die nach Ausübung des Rückkaufsrechts geschuldeten Leistungen gegenseitig ausschliessen und bezüglich des gesamten hinterlegten Betrags eine Ungewissheit über die Person des Gläubigers und die Gefahr der Doppelzahlung besteht. Damit sind die Voraussetzungen für eine Anwendung von Art. 96 OR beziehungsweise Art. 168 Abs. 1 OR grundsätzlich gegeben (vgl. ADRIAN STAEHELIN, Die Hinterlegung zu Handen wes Rechtes und der Prätendentenstreit, in: BJM 1972 S. 225 ff., 226). Daran ändert nichts, dass die Ansprecher unterschiedliche Leistungen fordern. Dies folgt vielmehr aus der Natur des auf alternative Leistungen gerichteten Vertragsverhältnisses. Dieser Gesichtspunkt steht, wie dargelegt, mit Blick auf den Schutzgedanken von Art. 96 OR (SCHRANER, a.a.O., N. 3, 17 und 18 zu Art. 96 OR ) der freiwilligen Hinterlegung aller alternativ geschuldeten Leistungen nicht entgegen.</w:t>
      </w:r>
    </w:p>
    <w:p>
      <w:r>
        <w:rPr>
          <w:b/>
        </w:rPr>
        <w:t>E. 5.4</w:t>
      </w:r>
    </w:p>
    <w:p>
      <w:r>
        <w:t>Im zu beurteilenden Fall sind beide Leistungen in Geld zu erbringen. Sie unterscheiden sich nur in ihrer Höhe und in den Zahlungsmodalitäten. Bei den Rentenzahlungen handelt es sich um wiederkehrende Leistungen. Um sich gültig zu befreien, müsste die Beschwerdeführerin gemäss Vertrag an sich die einzelnen Renten jeweils bei Fälligkeit hinterlegen. Solange der in der Höhe des Rückkaufswerts hinterlegte Betrag die aufgelaufenen Renten deckt, erübrigt sich eine zusätzliche Leistung. Sollte sich nämlich herausstellen, dass die Rentenansprüche tatsächlich bestehen, wären aus dem hinterlegten Geld die verfallenen Renten zu bezahlen und ein allfälliger Überschuss der Beschwerdeführerin zurückzuerstatten. Für die nach Beseitigung der Ungewissheit über die Person des Gläubigers entstehenden Ansprüche könnten sich die Gläubiger in jedem Fall wieder direkt an die Beschwerdeführerin 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