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286</w:t>
      </w:r>
    </w:p>
    <w:p>
      <w:r>
        <w:t>Bundesgericht (BGE), 2008-03-14, DE</w:t>
      </w:r>
    </w:p>
    <w:p>
      <w:r>
        <w:rPr>
          <w:b/>
        </w:rPr>
        <w:t xml:space="preserve">Quelle: </w:t>
      </w:r>
      <w:r>
        <w:t>https://mcp.opencaselaw.ch/entscheid/bge_BGE_134_III_286</w:t>
      </w:r>
    </w:p>
    <w:p>
      <w:r>
        <w:t>FR: ATF 134 III 286</w:t>
      </w:r>
    </w:p>
    <w:p>
      <w:r>
        <w:t>IT: DTF 134 III 286</w:t>
      </w:r>
    </w:p>
    <w:p>
      <w:pPr>
        <w:pStyle w:val="Heading2"/>
      </w:pPr>
      <w:r>
        <w:t>Regeste</w:t>
      </w:r>
    </w:p>
    <w:p>
      <w:r>
        <w:t>Regeste Internationale Schiedsgerichtsbarkeit; Revision von Schiedsentscheiden. Revisionsgründe (E. 2.1). Zuständigkeit des Bundesgerichts (E. 2.2).</w:t>
      </w:r>
    </w:p>
    <w:p>
      <w:r>
        <w:t>Regeste Arbitrage international; révision des sentences arbitrales. Motifs de révision (consid. 2.1). Compétence du Tribunal fédéral (consid. 2.2).</w:t>
      </w:r>
    </w:p>
    <w:p>
      <w:r>
        <w:t>Regesto Giurisdizione arbitrale internazionale; revisione dei lodi arbitrali. Motivi di revisione (consid. 2.1). Competenza del Tribunale federale (consid. 2.2).</w:t>
      </w:r>
    </w:p>
    <w:p>
      <w:pPr>
        <w:pStyle w:val="Heading2"/>
      </w:pPr>
      <w:r>
        <w:t>Erwägungen</w:t>
      </w:r>
    </w:p>
    <w:p>
      <w:r>
        <w:rPr>
          <w:b/>
        </w:rPr>
        <w:t>E. 2</w:t>
      </w:r>
    </w:p>
    <w:p>
      <w:r>
        <w:t>Das IPRG enthält keine Bestimmungen zur Revision von Entscheiden des Schiedsgerichts im Sinne von Art. 176 ff. IPRG . Nach der Rechtsprechung des Bundesgerichts, das diese Gesetzeslücke gefüllt hat, steht den Parteien eines Verfahrens der internationalen Schiedsgerichtsbarkeit das ausserordentliche Rechtsmittel der Revision zur Verfügung, für das die Zuständigkeit des Bundesgerichts BGE 134 III 286 S. 287 gegeben ist ( BGE 118 II 199 E. 2 und 3 S. 200 ff.; vgl. auch BGE 129 III 727 E. 1 S. 729). Heisst das Bundesgericht ein Revisionsgesuch gut, entscheidet es nicht selbst über die Sache, sondern weist diese an das Schiedsgericht, das entschieden hat, oder an ein neu zu bildendes Schiedsgericht zurück ( BGE 118 II 199 E. 3 S. 204; Urteil 4P.117/2003 vom 16. Oktober 2003, E. 1.1).</w:t>
      </w:r>
    </w:p>
    <w:p>
      <w:r>
        <w:rPr>
          <w:b/>
        </w:rPr>
        <w:t>E. 2.1</w:t>
      </w:r>
    </w:p>
    <w:p>
      <w:r>
        <w:t>Unter der Verfahrensordnung des OG waren die Revisionsgründe diejenigen, die in Art. 137 OG vorgesehen waren, und auf das Verfahren fanden die Art. 140-143 OG analog Anwendung ( BGE 118 II 199 E. 4 S. 204; Urteil 4P.120/2002 vom 3. September 2002, E. 1.1, publ. in: Pra 91/2002 Nr. 199 S. 1041). Dies gilt grundsätzlich weiterhin für die geltende Regelung des BGG, zumal für den Revisionsgrund in Art. 123 Abs. 2 lit. a BGG , der demjenigen von Art. 137 lit. b OG entspricht ( BGE 134 III 45 E. 2.1 S. 47). Nach Art. 123 Abs. 2 lit. a BGG kann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 Das Revisionsgesuch ist nach Art. 124 Abs. 1 lit. d BGG innert 90 Tagen nach Entdeckung des Revisionsgrundes, frühestens jedoch nach der Eröffnung der vollständigen Ausfertigung des Entscheides einzureichen.</w:t>
      </w:r>
    </w:p>
    <w:p>
      <w:r>
        <w:rPr>
          <w:b/>
        </w:rPr>
        <w:t>E. 2.2</w:t>
      </w:r>
    </w:p>
    <w:p>
      <w:r>
        <w:t>Das Bundesgericht ist für die Revision aller internationalen Schiedsgerichtsentscheide zuständig und zwar unbesehen darum, ob es sich um Endentscheide, Teilentscheide oder Zwischenentscheide handelt ( BGE 122 III 492 ; Urteil 4P.102/2006 vom 29. August 2006, E. 1, auszugsweise publ. in: SZIER 2007 S. 102 f; vgl. dazu CHRISTOPH MÜLLER, Das Schweizerische Bundesgericht revidiert zum ersten Mal einen internationalen Schiedsspruch, Zeitschrift für Schiedsverfahren [SchiedsVZ] 2007 S. 64; vgl. auch BGE 130 III 76 E. 3 S. 78 f.). Erforderlich ist immerhin, dass der Entscheid für das Schiedsgericht bindend ist, da nur rechtskräftige Entscheide der Revision zugänglich sind, was etwa dann nicht zutrifft, wenn eine Abänderung - sei es unter bestimmten Voraussetzungen - ausdrücklich vorbehalten wird ( BGE 122 III 492 E. 1b/bb S. 494; Urteil 4P.237/ 2005 vom 2. Februar 2006, E. 3.2, publ. in: Pra 95/2006 Nr. 148 S. 1017).</w:t>
      </w:r>
    </w:p>
    <w:p>
      <w:r>
        <w:rPr>
          <w:b/>
        </w:rPr>
        <w:t>E. 2.3</w:t>
      </w:r>
    </w:p>
    <w:p>
      <w:r>
        <w:t>Das vorliegende Revisionsgesuch richtet sich gegen einen Zwischenentscheid, in dem die Gültigkeit des Vertrages vom 12. Februar BGE 134 III 286 S. 288 1997 festgestellt wird, aus dem die Gesuchsgegnerin Ansprüche ableitet. Dass die Vorentscheidung für das Schiedsgericht nicht verbindlich sein könnte, ergibt sich aus dem Zwischenentscheid nicht und wird auch von keiner Partei behauptet. Im Gegenteil hält der Einzelschiedsrichter in der von der Gesuchstellerin beigelegten verfahrensleitenden Verfügung Nr. 31 vom 17. Dezember 2007 fest, dass der angefochtene Entscheid vom 23. Februar 2007 mangels Zustimmung der Gegenpartei nicht mehr überprüft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