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273</w:t>
      </w:r>
    </w:p>
    <w:p>
      <w:r>
        <w:t>Bundesgericht (BGE), 2008-01-01, DE</w:t>
      </w:r>
    </w:p>
    <w:p>
      <w:r>
        <w:rPr>
          <w:b/>
        </w:rPr>
        <w:t xml:space="preserve">Quelle: </w:t>
      </w:r>
      <w:r>
        <w:t>https://mcp.opencaselaw.ch/entscheid/bge_BGE_134_III_273</w:t>
      </w:r>
    </w:p>
    <w:p>
      <w:r>
        <w:t>FR: ATF 134 III 273</w:t>
      </w:r>
    </w:p>
    <w:p>
      <w:r>
        <w:t>IT: DTF 134 III 273</w:t>
      </w:r>
    </w:p>
    <w:p>
      <w:pPr>
        <w:pStyle w:val="Heading2"/>
      </w:pPr>
      <w:r>
        <w:t>Regeste</w:t>
      </w:r>
    </w:p>
    <w:p>
      <w:r>
        <w:t>Regeste Art. 285 ff., 292, 331 SchKG; Nachlassvertrag mit Vermögensabtretung; Anfechtung von Rechtshandlungen; Verwirkung. Beim Nachlassvertrag mit Vermögensabtretung verwirkt das Recht zur Anfechtung von Rechtshandlungen nach Ablauf von zwei Jahren nach Bestätigung des Nachlassvertrages (E. 2-5).</w:t>
      </w:r>
    </w:p>
    <w:p>
      <w:r>
        <w:t>Regeste Art. 285 ss, 292, 331 LP; concordat par abandon d'actif; révocation d'actes juridiques; péremption. En cas de concordat par abandon d'actif, le droit à la révocation d'actes juridiques se périme par deux ans à compter de l'homologation du concordat (consid. 2-5).</w:t>
      </w:r>
    </w:p>
    <w:p>
      <w:r>
        <w:t>Regesto Art. 285 segg., 292 e 331 LEF; concordato con abbandono dell'attivo; revoca di atti giuridici; perenzione. Nel caso di un concordato con abbandono dell'attivo il diritto di chiedere la revoca di atti giuridici decade dopo il decorso di due anni dall'omologazione del concordato (consid. 2-5).</w:t>
      </w:r>
    </w:p>
    <w:p>
      <w:pPr>
        <w:pStyle w:val="Heading2"/>
      </w:pPr>
      <w:r>
        <w:t>Erwägungen</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 Die Beschwerdeführer machen im Wesentlichen geltend, dass das Anfechtungsrecht nach Ablauf von zwei Jahren seit der Bewilligung der Nachlassstundung verwirke und deshalb die vorliegende Klage verwirkt sei. Dabei stützen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 BGE 134 III 273 S. 276</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 et al., in: Kommentar zum Bundesgesetz über Schuldbetreibung und Konkurs, N. 10 zu Art. 331 SchKG ; FRANCO LORANDI, Genehmigungsbedürftige Geschäfte während der Nachlassstundung [ Art. 298 Abs. 2 SchKG ], Schweizerische Zeitschrift für Zivilprozess- und Zwangsvollstreckungsrecht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BGE 134 III 273 S. 277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BGE 134 III 273 S. 278 massgebend". Die Bestimmung spricht - wie die Beschwerdeführer zu Recht festhalten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aArt. 316s SchKG übereinstimmt. Während Abs. 1 die Regelung von aArt. 316s Abs. 1 erster Satz SchKG übernommen hat, sind die Änderungen in Abs. 3 redaktioneller Art und betreffen nur den französischen Text. Die Botschaft über die Änderung des SchKG hält fest (BBl 1991 III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1993 N S. 39, 46; AB 1993 S S. 655, 657). Zu Art. 292 SchKG hält die Botschaft allerdings fest, dass die bei der Anfechtung relevanten zwei Zeitfragen klar getrennt würden: Die Verdachtsperiode in den Anfechtungstatbeständen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BGE 134 III 273 S. 279 von der Regelung der Verdachtsfristen .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 et al., a.a.O., N. 10 zu Art. 331 SchKG ).</w:t>
      </w:r>
    </w:p>
    <w:p>
      <w:r>
        <w:rPr>
          <w:b/>
        </w:rPr>
        <w:t>E. 4.3.1</w:t>
      </w:r>
    </w:p>
    <w:p>
      <w:r>
        <w:t>Die Beschwerdeführer bringen in diesem Zusammenhang vor,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für Karl Spühler, Zürich 2005, S. 223). Die Vorbringen sind nicht geeignet, um darzulegen, dass der Gesetzgeber in Art. 292 SchKG BGE 134 III 273 S. 280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 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während der Nachlassstundung [ Art. 298 Abs. 2 SchKG ], ZZZ 2004 S. 105 und106). Folgte man der Auffassung der Beschwerdeführer,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 halten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BGE 134 III 273 S. 281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machen die Beschwerdeführer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BGE 134 III 273 S. 282 und des Gläubigerausschusses - der Anfechtungsanspruch nach Art. 260 SchKG abgetreten wird ( Art. 325 SchKG ). Noch weniger Zeit hätten die Liquidatoren (bzw. die Abtretungsgläubiger), wenn der Nachlassstundung ein Konkursaufschub vorausgegangen ist. 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BGE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 machen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 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BGE 134 III 273 S. 283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behaupten die Beschwerdeführer selber nicht, dass bereits während des Konkursaufschubs gemäss Art. 725a OR Anfechtungsansprüche geltend gemacht werden könnten (LORANDI, Die Wirkungen des Konkursaufschubs, a.a.O., S. 224 f., mit Hinweisen). Entgegen der Darstellung der Beschwerdeführer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 BGE 134 III 273 S. 284</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3c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BGE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BGE 134 III 273 S. 285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 eingereicht hat. Wenn das Handelsgericht festgestellt hat, dass die Klägerin die Verwirkungsfrist gemäss Art. 331 i.V.m. Art. 292 SchKG gewahrt hat, stellt dies keine Verletzung von Bundesrecht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