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237</w:t>
      </w:r>
    </w:p>
    <w:p>
      <w:r>
        <w:t>Bundesgericht (BGE), 2008-02-04, DE</w:t>
      </w:r>
    </w:p>
    <w:p>
      <w:r>
        <w:rPr>
          <w:b/>
        </w:rPr>
        <w:t xml:space="preserve">Quelle: </w:t>
      </w:r>
      <w:r>
        <w:t>https://mcp.opencaselaw.ch/entscheid/bge_BGE_134_III_237</w:t>
      </w:r>
    </w:p>
    <w:p>
      <w:r>
        <w:t>FR: ATF 134 III 237</w:t>
      </w:r>
    </w:p>
    <w:p>
      <w:r>
        <w:t>IT: DTF 134 III 237</w:t>
      </w:r>
    </w:p>
    <w:p>
      <w:pPr>
        <w:pStyle w:val="Heading2"/>
      </w:pPr>
      <w:r>
        <w:t>Regeste</w:t>
      </w:r>
    </w:p>
    <w:p>
      <w:r>
        <w:t>Regeste Zusammenrechnung mehrerer Begehren zur Berechnung des Streitwertes (Art. 52 BGG). Die unter dem OG geltende Praxis, wonach die vor Bundesgericht nicht mehr streitigen Rechtsbegehren nur dann zum Streitwert hinzugerechnet wurden, wenn sie mit den noch streitigen Rechtsbegehren zusammenhingen, gilt auch unter dem BGG (E. 1.2).</w:t>
      </w:r>
    </w:p>
    <w:p>
      <w:r>
        <w:t>Regeste Addition des divers chefs de conclusions pour le calcul de la valeur litigieuse (art. 52 LTF). La jurisprudence en vigueur sous l'OJ, selon laquelle les chefs de conclusions qui n'étaient plus litigieux devant le Tribunal fédéral ne s'ajoutaient à la valeur litigieuse que s'ils étaient connexes aux chefs de conclusions encore litigieux, conserve toute sa validité sous la LTF (consid. 1.2).</w:t>
      </w:r>
    </w:p>
    <w:p>
      <w:r>
        <w:t>Regesto Somma di diverse conclusioni per il calcolo del valore di lite (art. 52 LTF). Rimane valida anche sotto la LTF la prassi vigente sotto l'OG, secondo cui le conclusioni che non sono più litigiose innanzi al Tribunale federale vengono sommate al valore di lite solo se sono connesse a quelle ancora litigiose (consid. 1.2).</w:t>
      </w:r>
    </w:p>
    <w:p>
      <w:pPr>
        <w:pStyle w:val="Heading2"/>
      </w:pPr>
      <w:r>
        <w:t>Erwägungen</w:t>
      </w:r>
    </w:p>
    <w:p>
      <w:r>
        <w:rPr>
          <w:b/>
        </w:rPr>
        <w:t>E. 1.2</w:t>
      </w:r>
    </w:p>
    <w:p>
      <w:r>
        <w:t>Gemäss Art. 74 Abs. 1 lit. b BGG ist die Beschwerde nur zulässig, wenn der Streitwert mindestens Fr. 30'000.- beträgt. Die Vorinstanz hat - wie schon die Erstinstanz - den Streitwert gemäss Art. 112 Abs. 1 lit. d BGG auf Fr. 20'000.- festgelegt, wogegen die Beschwerdeführerin im kantonalen Verfahren keine Einwände erhoben und die gestützt darauf gesprochene Parteientschädigung grundsätzlich akzeptiert hat. Lautet ein Begehren nicht auf BGE 134 III 237 S. 239 Bezahlung einer bestimmten Geldsumme, so setzt das Bundesgericht den Streitwert gemäss Art. 51 Abs. 2 BGG nach Ermessen fest. Diese Bestimmung entspricht Art. 36 Abs. 2 OG , weshalb auf die dazu entwickelten Grundsätze der Streitwertbestimmung abgestellt werden kann. Handelt es sich wie hier um eine Beschwerde gegen einen Endentscheid, so bestimmt sich der Streitwert nach den Begehren, die vor der Vorinstanz streitig geblieben waren ( Art. 51 Abs. 1 lit. a BGG ). Dabei werden mehrere in einer vermögensrechtlichen Sache von der gleichen Partei geltend gemachte Begehren zusammengerechnet, sofern sie sich nicht gegenseitig ausschliessen ( Art. 52 BGG ). Streitig war vor der Vorinstanz die Kostenverteilung aufgrund der Jahresrechnung 2003 (Beschluss Nr. 3), die Neugestaltung eines Sitzplatzes (Beschluss Nr. 7) sowie die Höhe der ausseramtlichen Entschädigung an die Beschwerdeführerin vor Erstinstanz. Vor Bundesgericht sind demgegenüber nur noch der Beschluss Nr. 7 sowie die Parteientschädigung streitig; der Beschluss Nr. 3 ist demgegenüber nicht mehr angefochten. Das Bundesgericht hat unter der Herrschaft des OG in Bezug auf Art. 47 Abs. 1, der im Wesentlichen Art. 52 BGG entsprach, entschieden, dass die vor Bundesgericht nicht mehr streitigen Rechtsbegehren nur dann zum Streitwert hinzugerechnet werden, wenn sie mit den noch streitigen Rechtsbegehren zusammenhängen ( BGE 99 II 125 E. 1 S. 126; vgl. auch: MESSMER/IMBODEN, Die eidgenössischen Rechtsmittel in Zivilsachen, Zürich 1992, Rz. 63 S. 87). Es sind keine Gründe ersichtlich, weshalb diese Praxis nicht auch unter dem neuen BGG ( Art. 52 BGG ) gelten sollte. Da der vor Bundesgericht nicht mehr streitige Beschluss Nr. 3 betreffend die Jahresrechnung 2003 in keinem Zusammenhang mit den beiden streitigen Rechtsbegehren steht, ist die gesetzliche Streitwertgrenze nicht erreicht, zumal es bezüglich des Sitzplatzes nicht einfach auf den Wert der ausgeführten Arbeiten, sondern auf die vermögensrechtlichen Interessen beider Parteien ankommt. Somit wäre die Beschwerde in Zivilsachen nur gegeben, wenn sich eine Rechtsfrage von grundsätzlicher Bedeutung stellte ( Art. 74 Abs. 2 lit. a BGG ), was die Beschwerdeführerin jedoch nicht behauptet. Auf die Beschwerde in Zivilsachen kann somit nicht eingetreten und eine allfällige Bundesrechtsverletzung nicht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