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214</w:t>
      </w:r>
    </w:p>
    <w:p>
      <w:r>
        <w:t>Bundesgericht (BGE), 2008-02-15, DE</w:t>
      </w:r>
    </w:p>
    <w:p>
      <w:r>
        <w:rPr>
          <w:b/>
        </w:rPr>
        <w:t xml:space="preserve">Quelle: </w:t>
      </w:r>
      <w:r>
        <w:t>https://mcp.opencaselaw.ch/entscheid/bge_BGE_134_III_214</w:t>
      </w:r>
    </w:p>
    <w:p>
      <w:r>
        <w:t>FR: ATF 134 III 214</w:t>
      </w:r>
    </w:p>
    <w:p>
      <w:r>
        <w:t>IT: DTF 134 III 214</w:t>
      </w:r>
    </w:p>
    <w:p>
      <w:pPr>
        <w:pStyle w:val="Heading2"/>
      </w:pPr>
      <w:r>
        <w:t>Regeste</w:t>
      </w:r>
    </w:p>
    <w:p>
      <w:r>
        <w:t>Regeste Gerichtsstandsgesetz; Klagen aus unerlaubter Handlung (Art. 25 GestG). Art. 25 GestG kommt nur zur Anwendung, wenn das Fundament der Klage in einer unerlaubten Handlung liegt; die Klage auf Leistung einer nach dem Urheberrechtsgesetz geschuldeten Vergütung erfüllt diese Voraussetzung nicht (E. 2).</w:t>
      </w:r>
    </w:p>
    <w:p>
      <w:r>
        <w:t>Regeste Loi sur les fors; actions fondées sur un acte illicite (art. 25 LFors). L'art. 25 LFors n'est applicable que si le fondement de l'action repose sur un acte illicite; l'action en paiement d'une rémunération due d'après la loi sur le droit d'auteur ne remplit pas cette condition (consid. 2).</w:t>
      </w:r>
    </w:p>
    <w:p>
      <w:r>
        <w:t>Regesto Legge sul foro; azioni derivanti da un atto illecito (art. 25 LForo). L'art. 25 LForo torna applicabile solamente qualora il fondamento dell'azione risieda in un atto illecito; l'azione tendente al versamento di un compenso dovuto giusta la legge sul diritto d'autore non adempie questo requisito (consid. 2).</w:t>
      </w:r>
    </w:p>
    <w:p>
      <w:pPr>
        <w:pStyle w:val="Heading2"/>
      </w:pPr>
      <w:r>
        <w:t>Erwägungen</w:t>
      </w:r>
    </w:p>
    <w:p>
      <w:r>
        <w:rPr>
          <w:b/>
        </w:rPr>
        <w:t>E. 2</w:t>
      </w:r>
    </w:p>
    <w:p>
      <w:r>
        <w:t>Nach Art. 3 Abs. 1 GestG (SR 272) ist - in Übereinstimmung mit Art. 30 Abs. 2 BV - das Gericht am Wohnsitz bzw. am Sitz des Beklagten örtlich zuständig, sofern das Gesetz nicht etwas anderes vorsieht. Im Rahmen der besonderen Gerichtsstände bestimmt Art. 25 GestG , dass für Klagen aus unerlaubter Handlung das Gericht am Wohnsitz oder Sitz der geschädigten Person oder der beklagten Partei oder am Handlungs- oder Erfolgsort zuständig ist. Nach Ansicht der Beschwerdeführerin liegt eine unerlaubte Handlung im Sinn dieser Bestimmung vor, wenn ein Nutzer die nach Art. 20 Abs. 2 URG geschuldete Vergütung nicht bezahlt. BGE 134 III 214 S. 216</w:t>
      </w:r>
    </w:p>
    <w:p>
      <w:r>
        <w:rPr>
          <w:b/>
        </w:rPr>
        <w:t>E. 2.1</w:t>
      </w:r>
    </w:p>
    <w:p>
      <w:r>
        <w:t>Art. 19 Abs. 1 URG erlaubt die Verwendung veröffentlichter Werke zum Eigengebrauch. Das Vervielfältigen von Werkexemplaren in Betrieben, öffentlichen Verwaltungen, Instituten, Kommissionen und ähnlichen Einrichtungen für die interne Information oder Dokumentation ist allerdings gestützt auf Art. 20 Abs. 2 URG vergütungspflichtig; nach Abs. 4 der Norm werden die Vergütungsansprüche von den zugelassenen Verwertungsgesellschaften geltend gemacht. Durch diese Vergütungspflicht soll die gesetzlich statuierte Beschränkung des Urheberrechts im Bereich des Eigengebrauchs ausgeglichen werden. Der Anspruch auf Zahlung der Vergütung beruht auf Gesetz; er ist nicht Folge einer unerlaubten Handlung im haftpflichtrechtlichen Sinn, lässt das Gesetz die Verwendung des Werks zum Eigengebrauch in Art. 19 URG doch ausdrücklich zu (vgl. BGE 124 III 370 E. 3b/bb S. 373). Daran ändert auch nichts, dass der Nutzer gegen Art. 20 Abs. 2 URG verstösst, wenn er seiner Vergütungspflicht nicht nachkommt. Entgegen der Ansicht der Beschwerdeführerin handelt es sich bei Art. 20 Abs. 2 URG nicht um eine haftpflichtrelevante Schutznorm, da die Bestimmung nicht dem Schutz des Vermögens des Urhebers dient, sondern dem Urheber einen Anspruch auf Vergütung einräumt. Es geht vorliegend also nicht darum, einen Anspruch nach Art. 41 OR durchzusetzen.</w:t>
      </w:r>
    </w:p>
    <w:p>
      <w:r>
        <w:rPr>
          <w:b/>
        </w:rPr>
        <w:t>E. 2.2</w:t>
      </w:r>
    </w:p>
    <w:p>
      <w:r>
        <w:t>Nach der Botschaft vom 18. November 1998 zum Gerichtsstandsgesetz ist der Begriff der unerlaubten Handlung im Sinn von Art. 25 GestG weit auszulegen; darunter sind nicht nur die klassischen Delikte nach Art. 41 ff. OR und die Tatbestände der Kausal- oder Gefährdungshaftungen, sondern alle ausservertraglichen Rechtsverletzungen zu verstehen (BBl 1999 S. 2864). Art. 25 GestG kommt allerdings selbst dann nicht zum Zug, wenn man die Nichtzahlung einer nach Art. 20 Abs. 2 URG geschuldeten Vergütung mit der Beschwerdeführerin als eine solche Rechtsverletzung ansieht. Die Beschwerdeführerin macht mit ihrer Klage nämlich nicht Ansprüche aus dieser Rechtsverletzung geltend, sondern will ihren gesetzlichen Anspruch auf Leistung der Vergütung durchsetzen. Das Fundament der Klage liegt mit anderen Worten nicht in der unerlaubten Handlung (vgl. auch Botschaft, a.a.O., S. 2865). Die Ansicht der Beschwerdeführerin, dass sämtliche nichtvertraglichen Ausgleichsansprüche unter Art. 25 GestG fallen, findet keine Stütze in der Entstehungsgeschichte der Norm, subsumiert doch die Botschaft namentlich die Ansprüche aus ungerechtfertigter Bereicherung oder aus (echter) Geschäftsführung ohne Auftrag nicht unter den Begriff der BGE 134 III 214 S. 217 unerlaubten Handlung (Botschaft, a.a.O., S. 2865). Auch in der Lehre werden gewisse ausservertragliche Ansprüche vom Anwendungsbereich des Art. 25 GestG ausgenommen (vgl. etwa KURTH/BERNET, in: Kellerhals/von Werdt/Güngerich [Hrsg.], Gerichtsstandsgesetz, 2. Aufl. 2005, N. 6 und 20 ff. zu Art. 25 GestG ; ROMERIO, in: Müller/Wirth [Hrsg.], Gerichtsstandsgesetz, N. 34 ff. zu Art. 25 GestG ; VOCK, Besondere Gerichtsstände im Gerichtsstandsgesetz [GestG], in: Das Gerichtsstandsgesetz, La loi sur les fors, Bern 2001, S. 43).</w:t>
      </w:r>
    </w:p>
    <w:p>
      <w:r>
        <w:rPr>
          <w:b/>
        </w:rPr>
        <w:t>E. 2.3</w:t>
      </w:r>
    </w:p>
    <w:p>
      <w:r>
        <w:t>Entgegen der in der Beschwerde vertretenen Meinung steht diese Auslegung von Art. 25 GestG der angestrebten Angleichung an die eurointernationale Ordnung nicht entgegen (vgl. dazu die Botschaft, a.a.O., S. 2863). Auch die eurointernationalen Bestimmungen verlangen nämlich als Klagefundament eine unerlaubte Handlung bzw. ein Quasidelikt. So begründet der (autonom auszulegende) Art. 5 Ziff. 3 LugÜ (SR 0.275.11) den Gerichtsstand am Ort, an dem das schädigende Ereignis eingetreten ist, "wenn eine unerlaubte Handlung oder eine Handlung, die einer unerlaubten Handlung gleichgestellt ist, oder wenn Ansprüche aus einer solchen Handlung den Gegenstand des Verfahrens bilden". Nach der bundesgerichtlichen Rechtsprechung geht es um Ansprüche, die eine Haftung des angeblichen Schädigers begründen würden ( BGE 133 III 282 E. 4 S. 289; BGE 125 III 346 E. 4a S. 348). Gemäss ständiger Rechtsprechung des EuGH setzt der entsprechende Art. 5 Ziff. 3 EuGVÜ (bzw. EuGVVO) eine Klage voraus, mit der eine Schadenshaftung des Beklagten geltend gemacht wird (Urteil des EuGH vom 20. Januar 2005 in der Rechtssache C-27/02, Engler gegen Janus Versand GmbH , Slg. 2005, I-481, Randnr. 29 mit zahlreichen Hinweisen; vgl. in diesem Zusammenhang auch SEBASTIAN KUBIS, Internationale Zuständigkeit bei Persönlichkeits- und Immaterialgüterrechtsverletzungen, Diss. Bielefeld 1999, S. 110, wonach der Tatortgerichtsstand nicht zu einem "Auffanggerichtsstand" für alle nichtvertraglichen Ansprüche und damit konturenlos werden dürfe). Der Hinweis der Beschwerdeführerin auf die fremdsprachigen Fassungen dieser Rechtsprechung ist unbehelflich, ergibt sich doch aus den Begriffen "responsabilité", "liability" bzw. "responsabilità" nichts anderes.</w:t>
      </w:r>
    </w:p>
    <w:p>
      <w:r>
        <w:rPr>
          <w:b/>
        </w:rPr>
        <w:t>E. 2.4</w:t>
      </w:r>
    </w:p>
    <w:p>
      <w:r>
        <w:t>Auch aus der in Art. 45 Abs. 2 URG statuierten Pflicht der Verwertungsgesellschaften, die Verwertung nach festen Regeln und nach dem Gebot der Gleichbehandlung zu besorgen, kann die Beschwerdeführerin nichts zu ihren Gunsten ableiten. Dass sie aufgrund von Art. 3 GestG in nahezu allen Kantonen der Schweiz klagen muss, um BGE 134 III 214 S. 218 die Vergütungsansprüche gegenüber säumigen Nutzern durchzusetzen, mag zwar dem Gebot der wirtschaftlichen Verwertung und dem Sinn und Zweck der Pauschalierung in den Gemeinsamen Tarifen zuwiderlaufen. Dies lässt sich aber nur durch die Einführung eines speziellen Gerichtsstands am Sitz der Verwertungsgesellschaft verhindern. Eine örtliche Zuständigkeit gestützt auf Art. 25 GestG lässt sich damit nicht begründen. Weiter ist nicht ersichtlich, wieso es den Verwertungsgesellschaften unmöglich sein soll, die Verwertung nach dem Gebot der Gleichbehandlung zu besorgen, wenn sie die Klage auf Leistung der Vergütung am Wohnsitz des jeweiligen Beklagten einreichen müssen.</w:t>
      </w:r>
    </w:p>
    <w:p>
      <w:r>
        <w:rPr>
          <w:b/>
        </w:rPr>
        <w:t>E. 2.5</w:t>
      </w:r>
    </w:p>
    <w:p>
      <w:r>
        <w:t>Das Obergericht hat nach dem Gesagten kein Bundesrecht verletzt, als es auf die Klage der Beschwerdeführerin mangels örtlicher Zuständigkeit nicht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