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193</w:t>
      </w:r>
    </w:p>
    <w:p>
      <w:r>
        <w:t>Bundesgericht (BGE), 2007-08-23, FR</w:t>
      </w:r>
    </w:p>
    <w:p>
      <w:r>
        <w:rPr>
          <w:b/>
        </w:rPr>
        <w:t xml:space="preserve">Quelle: </w:t>
      </w:r>
      <w:r>
        <w:t>https://mcp.opencaselaw.ch/entscheid/bge_BGE_134_III_193</w:t>
      </w:r>
    </w:p>
    <w:p>
      <w:r>
        <w:t>FR: ATF 134 III 193</w:t>
      </w:r>
    </w:p>
    <w:p>
      <w:r>
        <w:t>IT: DTF 134 III 193</w:t>
      </w:r>
    </w:p>
    <w:p>
      <w:pPr>
        <w:pStyle w:val="Heading2"/>
      </w:pPr>
      <w:r>
        <w:t>Regeste</w:t>
      </w:r>
    </w:p>
    <w:p>
      <w:r>
        <w:t>Regeste Art. 75 und 28 ff. ZGB; Klage auf Anfechtung eines Vereinsbeschlusses; Schutz der Persönlichkeit im Falle einer Vorschrift eines Pferdesportvereins, welche den Gebrauch von Substanzen unabhängig von jeder Wirkung auf die Leistungsfähigkeit verbietet und unter Strafe stellt. Das Vereinsreglement und die gestützt darauf getroffenen Entscheidungen dürfen nicht zu einer widerrechtlichen Verletzung der Persönlichkeit der Mitglieder führen (E. 4.3). Prüfungsbefugnis des Gerichts in der Sache (E. 4.4). Feststellung einer Verletzung des Persönlichkeitsrechts der Beschwerdeführer im vorliegenden Fall (E. 4.5) und Rechtfertigung der Verletzung durch ein überwiegendes öffentliches Interesse (E. 4.6).</w:t>
      </w:r>
    </w:p>
    <w:p>
      <w:r>
        <w:t>Regeste Art. 75 et 28 ss CC; action en annulation d'une décision d'une association; protection de la personnalité dans le cas d'une réglementation d'une association sportive équestre interdisant et sanctionnant l'usage de substances indépendamment de tout effet sur la performance. La réglementation associative et les décisions prises en application de celle-ci ne doivent pas porter une atteinte illicite à la personnalité des membres (consid. 4.3). Pouvoir de cognition de l'autorité judiciaire en la matière (consid. 4.4). Dans le cas d'espèce, constat d'une lésion des droits de la personnalité des recourants (consid. 4.5) et justification de l'atteinte par un intérêt public prépondérant (consid. 4.6).</w:t>
      </w:r>
    </w:p>
    <w:p>
      <w:r>
        <w:t>Regesto Art. 75 e 28 segg. CC; contestazione di una risoluzione di un'associazione; protezione della personalità nel caso di una regolamentazione di un'associazione sportiva equestre che vieta e sanziona l'uso di sostanze indipendentemente da qualsiasi effetto sulle prestazioni. La regolamentazione associativa e le risoluzioni prese in sua applicazione non devono portare ad un'illecita lesione della personalità dei soci (consid. 4.3). Potere d'esame dell'autorità giudiziaria (consid. 4.4). Accertamento nel caso concreto di una lesione dei diritti della personalità dei ricorrenti (consid. 4.5), giustificata da un interesse pubblico preponderante (consid. 4.6).</w:t>
      </w:r>
    </w:p>
    <w:p>
      <w:pPr>
        <w:pStyle w:val="Heading2"/>
      </w:pPr>
      <w:r>
        <w:t>Erwägungen</w:t>
      </w:r>
    </w:p>
    <w:p>
      <w:r>
        <w:rPr>
          <w:b/>
        </w:rPr>
        <w:t>E. 4.1</w:t>
      </w:r>
    </w:p>
    <w:p>
      <w:r>
        <w:t>Selon les recourants, les sanctions prononcées à leur encontre portent une atteinte illicite à leur personnalité et contreviennent à l'ordre juridique suisse. En résumé, ils critiquent la disqualification automatique, assortie du retrait du "prize money", motif pris qu'une substance interdite a été décelée dans les urines du cheval, ce alors même qu'il est établi que la concentration relevée n'a pu avoir, en l'espèce, d'influence sur la BGE 134 III 193 S. 197 performance de l'animal. Rappelant les limites auxquelles est soumise l'autonomie organisationnelle de l'association, ils rejettent les motifs avancés par l'autorité cantonale pour fonder sa décision (impératifs de célérité et de sécurité juridique). Sous l'angle de la célérité de la procédure, ils soutiennent que la sanction des règles antidopages n'est par nature pas immédiate, du fait des analyses à entreprendre et des règles à respecter pour l'ouverture de la procédure disciplinaire. Il serait par ailleurs techniquement, et sans grands frais, possible pour les laboratoires de déterminer les concentrations de la Dipyrone et de ses métabolites, tant dans l'urine que dans le sang, sans que la procédure en soit rallongée pour autant; partant, rien ne s'opposerait à la prise en considération des effets sur la performance. La réglementation litigieuse engendrerait en outre une insécurité juridique. D'une part, elle appellerait une appréciation au regard de la définition des substances interdites qu'elle retient. D'autre part, elle ne serait pas en adéquation avec l'évolution des techniques de détection et d'analyse qui permettent de déceler des concentrations de produits toujours plus faibles qui peuvent n'avoir aucun effet sur les performances. Ces résultats rendant obsolètes les durées d'élimination mentionnées dans la littérature spécialisée, les propriétaires et entraîneurs ne disposeraient ainsi plus d'aucun moyen pour déterminer le moment à partir duquel un cheval traité à des fins thérapeutiques pourrait concourir à nouveau, sans risque de disqualification. Les recourants prétendent que ces incertitudes pourraient être levées en fixant pour les différentes substances administrées à des buts thérapeutiques des valeurs-seuils en dessous desquelles il serait admis que le produit n'a eu aucune influence sur la performance. Ils contestent enfin la conformité de la réglementation au droit suisse et à la jurisprudence du Tribunal arbitral du sport et écartent les arguments invoqués par l'intimée (égalité entre les concurrents, protection des chevaux, qualité de l'élevage) pour justifier l'atteinte à leur personnalité. Ils invoquent les mêmes arguments s'agissant de l'amende infligée à l'entraîneur. Enfin, ils contestent avoir consenti à l'atteinte au sens de l' art. 28 al. 2 CC .</w:t>
      </w:r>
    </w:p>
    <w:p>
      <w:r>
        <w:rPr>
          <w:b/>
        </w:rPr>
        <w:t>E. 4.2</w:t>
      </w:r>
    </w:p>
    <w:p>
      <w:r>
        <w:t>La Chambre des recours du Tribunal cantonal vaudois a jugé qu'elle devait se limiter, en l'espèce, à vérifier si la décision soumise à contrôle ne portait pas gravement atteinte aux exigences de la bonne foi et ne dépassait manifestement pas les bornes d'un exercice raisonnable du pouvoir en vertu duquel elle avait été prise. Cela étant, elle a BGE 134 III 193 S. 198 considéré d'une part que la réglementation litigieuse qui prévoit une disqualification en cas de présence d'une substance interdite, quelle qu'en soit la quantité et indépendamment d'une éventuelle influence sur les performances du cheval, était admissible; elle s'est référée à l'intérêt des organisateurs de courses à pouvoir se fonder sur un critère simple et clair, permettant de régler rapidement et sûrement la question du dopage et de rendre rapidement des décisions ne laissant pas la place à des appréciations qui déboucheraient immanquablement sur des contestations. Elle a d'autre part relevé que la réglementation ne paraissait pas arbitraire au regard du droit suisse sur le dopage, lequel n'exige pas la preuve d'une amélioration de la performance, le fait du dopage entraînant automatiquement l'annulation du résultat sportif. Elle s'en est de plus rapportée à la jurisprudence des autorités arbitrales privées du sport, selon laquelle la seule prise de substances interdites justifie la disqualification, sans que l'intéressé puisse établir l'absence d'influence de la substance sur les performances de l'animal. L'autorité cantonale a en outre jugé que le propriétaire et l'entraîneur, en participant à la course litigieuse et en se soumettant à la réglementation de la fédération, qui leur était par ailleurs connue, l'avaient acceptée, à tout le moins implicitement. Ce faisant, ils avaient consenti à l'éventuelle lésion de leurs droits ( art. 28 al. 2 CC ). Enfin, ce consentement ne constituait pas un engagement excessif au sens de l' art. 27 CC ; le fait de se soumettre à une règle ayant pour conséquence d'interdire à un cheval, qui vient d'être soigné et qui présente encore des traces de médicaments, de prendre le départ d'une course ne pouvait être qualifié comme tel; la disqualification - et la restitution du prix qui en résultait - n'était que la réalisation du risque pris en faisant participer un animal qui avait été soigné quelques jours auparavant avec un produit prohibé, risque auquel les intéressés auraient pu échapper en renonçant à participer à la compétition, renonciation qui ne restreignait pas à l'excès leur liberté économique. La position monopolistique de l'association sportive n'était à cet égard pas un argument pertinent, la lutte contre le dopage constituant par ailleurs un intérêt prépondérant au sens de l' art. 28 al. 2 CC . L'autorité cantonale en a conclu que la réglementation et les décisions en cause n'étaient pas illicites, de sorte que les prétentions de l'entraîneur et du propriétaire en annulation de ces dernières, en restitution du prix, en dommages-intérêts et en publication du jugement n'étaient pas fondées. BGE 134 III 193 S. 199</w:t>
      </w:r>
    </w:p>
    <w:p>
      <w:r>
        <w:rPr>
          <w:b/>
        </w:rPr>
        <w:t>E. 4.3</w:t>
      </w:r>
    </w:p>
    <w:p>
      <w:r>
        <w:t>Comme le relève à bon droit l'autorité cantonale, l'association dispose, conformément à l' art. 63 al. 1 CC , d'une large autonomie dans l'établissement et l'application des règles qui régissent sa vie sociale et ses relations avec ses membres. Il n'en demeure pas moins que cette autonomie est limitée, en ce sens que les statuts ne peuvent déroger aux règles dont l'application a lieu en vertu d'une disposition impérative de la loi ( art. 63 al. 2 CC ; cf. ATF 97 II 108 consid. 2 p. 113). En particulier, la réglementation associative et les décisions prises en application de celle-ci ne peuvent porter une atteinte illicite à la personnalité des membres ( art. 27 et 28 CC ; MARGARETA BADDELEY, Le sportif, sujet ou objet [ci-après: Le sportif], in RDS 115/1996 p. 227-228, et L'association sportive face au droit, thèse Genève 1994, p. 107 s. et 110; RIEMER, Commentaire bernois, n. 43 ss ad art. 63 CC ; WOLFGANG PORTMANN, Das Schweizerische Vereinsrecht, 3 e éd., in Schweizerisches Privatrecht, vol. II/5, n. 305, 316 ss).</w:t>
      </w:r>
    </w:p>
    <w:p>
      <w:r>
        <w:rPr>
          <w:b/>
        </w:rPr>
        <w:t>E. 4.4</w:t>
      </w:r>
    </w:p>
    <w:p>
      <w:r>
        <w:t>On ne saurait en revanche suivre les juges cantonaux, lorsque, se référant à un courant doctrinal (JÉRÔME JAQUIER, La qualification juridique des règles autonomes des organisations sportives, thèse Lausanne 2004, p. 166 ss), ils prônent - dans ce contexte - un examen de la réglementation associative limité à l'"arbitraire". En l'espèce, il ne s'agit pas d'examiner si celle-là a été correctement appliquée ou interprétée, mais si les recourants ont été atteints de façon illicite dans leur personnalité par son application, en l'occurrence par le prononcé des sanctions litigieuses. Dans ce cadre, l'autorité judiciaire dispose d'un pouvoir d'examen libre (cf. ANTON HEINI, Die gerichtliche Überprüfung von Vereinsstrafen, in Festschrift Meier-Hayoz, Berne 1982, p. 230 s.; MARGARETA BADDELEY, L'autonomie de l'association sportive en droit suisse, in Chapitres choisis du droit du sport, Etudes et Recherches du GISS, Genève 1993, p. 41). Cela n'empêche pas une certaine retenue lorsque se posent des questions techniques ou d'appréciation ( ATF 125 II 643 consid. 4a p. 652, ATF 125 II 86 consid. 6 p. 98 et les arrêts cités; ATF 119 Ia 378 consid. 6a p. 383; ATF 112 Ib 26 consid. 3 p. 30; pour les instances inférieures: ATF 133 II 35 consid. 3 p. 39).</w:t>
      </w:r>
    </w:p>
    <w:p>
      <w:r>
        <w:rPr>
          <w:b/>
        </w:rPr>
        <w:t>E. 4.5</w:t>
      </w:r>
    </w:p>
    <w:p>
      <w:r>
        <w:t>L' art. 28 al. 1 CC confère à celui qui subit une atteinte illicite à sa personnalité le droit d'agir en justice pour sa protection contre toute personne qui y participe. La garantie de l' art. 28 CC s'étend à l'ensemble des valeurs essentielles de la personne qui lui sont propres par sa seule existence et peuvent faire l'objet d'une atteinte BGE 134 III 193 S. 200 (BUCHER, Personnes physiques et protection de la personnalité, 4 e éd. 1999, p. 108, n. 457; DESCHENAUX/STEINAUER, Personnes physiques et tutelle, 4 e éd.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(HEINZ HAUSHEER/REGINA AEBI-MÜLLER, Sanktionen gegen Sportler - Voraussetzungen und Rahmenbedingungen, in RJB 137/2001 p. 346 ss; JÖRG SCHMID, Persönlichkeitsrecht und Sport, in Festschrift Heinz Hausheer, Berne 2002, p. 128 ss; MARGARETA BADDELEY, Le sportif, p. 171 ss). En l'occurrence, il est patent que le retrait du prix en espèces d'une valeur de 48'000 fr. lié à la disqualification du cheval ainsi que le prononcé de l'amende de 2'000 fr. lèsent les droits patrimoniaux des recourants. Cette atteinte est d'autant plus conséquente pour l'entraîneur qu'il exerce cette activité à titre professionnel et tire ses revenus de la participation aux "prize money" gagnés par les chevaux qu'il entraîne (cf. MARGARETA BADDELEY, Le sportif, p. 186). Les sanctions litigieuses atteignent par ailleurs les recourants dans leur honneur et leur considération professionnelle et sociale ( ATF 127 III 481 consid. 2b/aa p. 487; ATF 111 II 209 consid. 2 p. 210; ATF 106 II 92 consid. 2a p. 96; MARGARETA BADDELEY, Le sportif, p. 183 ss; HEINZ HAUSHEER/REGINA AEBI-MÜLLER, op. cit., p. 347). En effet, d'un point de vue objectif et aux yeux d'un citoyen moyen (cf. ATF 132 III 641 consid. 3.1 p. 644 et les arrêts cités; ATF 111 II 209 consid. 2 p. 211 et la référence), le prononcé de mesures disciplinaires en raison d'une prétendue violation des règles interdisant et sanctionnant l'usage de substances interdites fait naître l'idée que les résultats ont été obtenus par un comportement déloyal ou par des méthodes interdites. Il porte de ce fait atteinte non seulement au sentiment qu'a une personne de sa propre dignité, mais aussi à sa réputation d'honnête homme ainsi qu'à son estime professionnelle et sociale (DESCHENAUX/STEINAUER, op. cit., n. 558; MARGARETA BADDELEY, Le sportif, p. 184 s.), notamment lorsqu'il a été suivi, comme en l'espèce, d'une publication dans une revue officielle (MARGARETA BADDELEY, Le sportif, p. 185). Preuve en est, dans le cas particulier, la lettre anonyme accusant le propriétaire d'avoir "abus[é]" honteusement d'un cheval pour "satisfaire sa frustration et sa fausse ambition".</w:t>
      </w:r>
    </w:p>
    <w:p>
      <w:r>
        <w:rPr>
          <w:b/>
        </w:rPr>
        <w:t>E. 4.6</w:t>
      </w:r>
    </w:p>
    <w:p>
      <w:r>
        <w:t>Selon l' art. 28 al. 2 CC , une atteinte à la personnalité est illicite, à moins qu'elle ne soit justifiée par le consentement de la victime, BGE 134 III 193 S. 201 par un intérêt prépondérant privé ou public, ou par la loi. Il résulte de cette disposition que l'atteinte est en principe illicite, ce qui découle du caractère absolu des droits de la personnalité. L'illicéité est une notion objective de sorte qu'il n'est pas décisif que l'auteur soit de bonne foi ou ignore qu'il participe à une atteinte à la personnalité.</w:t>
      </w:r>
    </w:p>
    <w:p>
      <w:r>
        <w:rPr>
          <w:b/>
        </w:rPr>
        <w:t>E. 4.6.1</w:t>
      </w:r>
    </w:p>
    <w:p>
      <w:r>
        <w:t>L'intimée se prévaut d'un intérêt public prépondérant. Elle fait valoir en substance que sa réglementation visant à interdire et sanctionner l'utilisation de certaines substances indépendamment de la quantité décelée et de toute influence sur la performance poursuit des buts légitimes, à savoir garantir la sincérité des courses et l'égalité entre les concurrents, assurer la protection des chevaux et préserver la qualité de l'élevage. Elle soutient en outre qu'elle est conforme à celle prévue par l'Accord international sur l'élevage et les courses ainsi qu'à l'ordre juridique sportif international et au droit suisse.</w:t>
      </w:r>
    </w:p>
    <w:p>
      <w:r>
        <w:rPr>
          <w:b/>
        </w:rPr>
        <w:t>E. 4.6.2</w:t>
      </w:r>
    </w:p>
    <w:p>
      <w:r>
        <w:t>S'agissant de l'intérêt public prépondérant qui justifierait l'atteinte, l'examen nécessite une pondération des intérêts en présence, à savoir, d'un côté, l'intérêt de la victime à ne pas subir une atteinte à sa personnalité et, de l'autre, celui de l'auteur de l'atteinte à réaliser un objectif.</w:t>
      </w:r>
    </w:p>
    <w:p>
      <w:r>
        <w:rPr>
          <w:b/>
        </w:rPr>
        <w:t>E. 4.6.3</w:t>
      </w:r>
    </w:p>
    <w:p>
      <w:r>
        <w:t>En l'espèce, le règlement suisse des courses de galop, auquel sont soumis les recourants, dispose que doit être disqualifié notamment tout cheval chez lequel on a découvert une substance interdite (§ 176 ch. 3.20); la disqualification est assortie du retrait du "prize money" revenant au propriétaire. Quant à l'entraîneur, il se voit infliger, s'il ne s'agit pas d'un cas de négligence légère (§ 171 ch. 1) - pour lequel est prévue la réprimande (§ 170) -, une amende pouvant aller de 2'000 fr. à 30'000 fr. lorsque des substances interdites sont découvertes chez l'un ou plusieurs chevaux figurant sur sa liste d'entraînement (§ 171 ch. 2.4). Selon le paragraphe 4 chiffre 10 de la directive relative au service vétérinaire, constituent des substances interdites celles qui peuvent avoir en tout temps des effets sur un ou plusieurs des systèmes corporels d'un mammifère, notamment le système nerveux, la circulation, les voies respiratoires, l'appareil digestif, le système urinaire, les organes reproducteurs, le système moteur, le système hémotolymphatique et la circulation sanguine, le système immunitaire, à l'exception des substances qui sont contenues dans les vaccins, et le système endocrinien (let. a); sont également visées les sécrétions endocrines et leurs homologues synthétiques (let. b) ainsi que les substances BGE 134 III 193 S. 202 masquantes (let. c). La disposition précitée dispose par ailleurs qu'il faut entendre par identification d'une substance interdite la présence de la substance elle-même, d'un métabolite de cette substance, d'un isomère de la substance ou d'un isomère de son métabolite (produits du métabolisme) et qu'il y a lieu d'assimiler à l'identification d'une substance interdite l'identification d'un indicateur scientifique prouvant que l'administration d'une substance interdite a eu lieu.</w:t>
      </w:r>
    </w:p>
    <w:p>
      <w:r>
        <w:rPr>
          <w:b/>
        </w:rPr>
        <w:t>E. 4.6.3.1</w:t>
      </w:r>
    </w:p>
    <w:p>
      <w:r>
        <w:t>Les recourants ne contestent pas que le 4-MAA décelé dans l'urine du cheval, métabolite primaire du Metamizol et l'un des métabolites de la Dipyrone, soit une substance interdite au sens du paragraphe 4 chiffre 10 de la directive susmentionnée. Dans ces conditions, et d'autant qu'il s'agit en l'espèce d'examiner l'illicéité d'une atteinte à la personnalité, il est difficile de saisir la pertinence de leur grief selon lequel, à défaut de définir précisément les produits interdits selon leur classe chimique, la norme susmentionnée ne constituerait pas une base légale suffisante et, partant, engendrerait une insécurité juridique.</w:t>
      </w:r>
    </w:p>
    <w:p>
      <w:r>
        <w:rPr>
          <w:b/>
        </w:rPr>
        <w:t>E. 4.6.3.2</w:t>
      </w:r>
    </w:p>
    <w:p>
      <w:r>
        <w:t>Les recourants soutiennent que la disqualification automatique, assortie du retrait du "prize money", ainsi que le prononcé de l'amende portent une atteinte injustifiée à leur personnalité, dès lors que ces sanctions sont fondées par le seul fait de la présence dans les urines d'une substance interdite, alors même qu'il est établi que la concentration relevée n'a pu avoir, en l'espèce, d'influence sur la performance de l'animal. En bref, ils considèrent comme injustifiée la réglementation litigieuse qui dispose que l'infraction de dopage est consommée dès le moment où la substance prohibée est décelée, et qui sanctionne le cas de dopage sans qu'il importe de savoir si son administration a eu des effets sur la performance ou si sa présence découle d'une volonté de "tricher" (cf. supra, consid. 4.1). 4.6.3.2.1 Le système adopté par l'intimée prévoit que la seule présence d'un produit interdit présume le dopage, c'est-à-dire l'augmentation artificielle des performances (présomption de dopage: cf. arrêts du Tribunal fédéral 4P.217/1992 du 15 mars 1993, consid. 8, publié in Bull. ASA 1993 p. 409; 5P.83/1999 du 31 mars 1999, consid. 3d). S'agissant de la disqualification et du retrait du "prize money", il repose par ailleurs sur le principe d'une responsabilité dite objective, à savoir abstraction faite de tout critère de culpabilité ("strict liability"; sur cette notion: cf. arrêts du Tribunal fédéral 4P.105/2006 du 4 août 2006, consid. 8.2 et 4P.148/2006 du 10 janvier 2007, let. A BGE 134 III 193 S. 203 sous les faits). En d'autres termes, le cas de dopage est réalisé et sanctionné dès la découverte d'un produit prohibé, indépendamment des effets réels de celui-ci sur la performance et, dans le cas de la disqualification et du retrait du prix, de toute faute. 4.6.3.2.2 On ne saurait considérer qu'une telle réglementation ne soit pas justifiée par un intérêt public prépondérant. En effet, la lutte contre le dopage vise à sauvegarder l'égalité entre les concurrents et la loyauté des compétitions, à protéger la santé des animaux, à maintenir la qualité de l'élevage, à combattre l'utilisation de substances dangereuses, à préserver la propreté du sport et à assurer la fonction formatrice de celui-ci pour les jeunes. Ces objectifs sont unanimement reconnus par les organisations sportives et les institutions étatiques (JÖRG SCHMID, op. cit., p. 137 ss; PETER PHILIPP, Rechtliche Schranken der Vereinsautonomie und der Vertragsfreiheit im Einzelsport, p. 53-54; MARGARETA BADDELEY, Le sportif, p. 224). Il en va de l'efficacité du combat antidopage que les associations disposent d'une base indiscutable. L'examen dans chaque cas particulier des éventuels effets de la substance décelée sur la performance ne manquerait pas d'ouvrir la porte à des appréciations et à des discussions sans fin et de créer des disparités de traitement selon les situations (particularités des phases de résorption, tolérances individuelles). Il s'agit d'éviter de longs débats sur l'effet que la substance a pu ou n'a pas pu avoir, dans un cas particulier, sur les performances sportives, un tel effet étant au demeurant impossible à quantifier. Le recours, en l'espèce, à moults expertises et avis de spécialistes sur le sujet en est la parfaite illustration. Ce souci d'efficacité l'emporte sur l'intérêt des recourants au prononcé d'une sanction tenant compte de l'influence du produit prohibé sur la performance. Certes, les techniques actuelles d'analyses permettent de détecter des quantités de substance toujours plus faibles qui peuvent n'avoir eu aucune influence sur les performances et rendre ainsi obsolètes les temps d'élimination préconisés par la littérature spécialisée. Dans ce contexte, les recourants prétendent que la fixation d'une valeur-seuil en dessous de laquelle il serait admis qu'il n'y a eu aucun effet sur la performance, préserverait de façon plus adéquate leurs droits de la personnalité, notamment lorsque la substance a été administrée, comme en l'espèce, à des fins thérapeutiques. Outre qu'une telle argumentation revient à critiquer le système autant qu'il se fonde sur une présomption de dopage, elle ne porte pas. Il n'appartient pas à BGE 134 III 193 S. 204 l'autorité judiciaire de déterminer pour quelles substances des valeurs-seuils devraient être introduites, ni de fixer ces dernières. Il s'agit là d'une problématique qui suppose des connaissances particulières et pointues et qu'il incombe aux fédérations équestres de trancher - dans le cadre de leur autonomie ( art. 63 al. 1 CC ) - sur la base de consultations des parties concernées et d'études scientifiques sérieuses. Aux dires des divers témoins entendus, une "task force" a d'ailleurs été formée pour traiter de la question au sein de la Fédération équestre tant internationale que suisse. Il ne saurait être question de remettre en cause, au nom de la protection de la personnalité, une réglementation qui, se conformant en cela à un engagement international, limite les valeurs-seuils à certaines substances avec lesquelles l'animal peut naturellement être en contact. En effet, reprenant les termes de l'Accord international sur l'élevage et les courses (édition de janvier 2002; art. 6 ch. 14 à 17) - auquel la Suisse est partie -, les dispositions adoptées par l'intimée prévoient de tels taux. Elles les fixent cependant pour neuf substances qui sont endogènes au cheval, naturellement présentes dans les plantes couramment broutées ou récoltées comme fourrage, ou encore dont la présence dans l'alimentation résulte d'une contamination durant la culture, le traitement ou la transformation, le stockage ou le transport (par. 4 ch. 11 de la directive relative au service vétérinaire). Il résulte de ce qui précède que, justifiée par un intérêt public prépondérant, l'atteinte aux droits de la personnalité des recourants n'est pas illicite au sens de l' art. 28 al. 2 CC . Partant, elle ne saurait fonder une annulation de la décision du Jury Sportif de la FSC ni une prétention en dommages-intérêts. Cela étant, nul n'est besoin d'examiner encore si les recourants ont consenti à l'atteinte, comme le soutient aussi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