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102</w:t>
      </w:r>
    </w:p>
    <w:p>
      <w:r>
        <w:t>Bundesgericht (BGE), 2007-10-23, FR</w:t>
      </w:r>
    </w:p>
    <w:p>
      <w:r>
        <w:rPr>
          <w:b/>
        </w:rPr>
        <w:t xml:space="preserve">Quelle: </w:t>
      </w:r>
      <w:r>
        <w:t>https://mcp.opencaselaw.ch/entscheid/bge_BGE_134_III_102</w:t>
      </w:r>
    </w:p>
    <w:p>
      <w:r>
        <w:t>FR: ATF 134 III 102</w:t>
      </w:r>
    </w:p>
    <w:p>
      <w:r>
        <w:t>IT: DTF 134 III 102</w:t>
      </w:r>
    </w:p>
    <w:p>
      <w:pPr>
        <w:pStyle w:val="Heading2"/>
      </w:pPr>
      <w:r>
        <w:t>Regeste</w:t>
      </w:r>
    </w:p>
    <w:p>
      <w:r>
        <w:t>Regeste Übergang der Arbeitsverhältnisse (Art. 333 OR). Ist Art. 333 OR anwendbar, wenn die Betriebsübertragung im Rahmen eines Verfahrens des Nachlassvertrages mit Vermögensabtretung erfolgt? Frage offengelassen (E. 2.2). Wenn die Arbeitsverhältnisse infolge einer vorzeitigen Pensionierung des Arbeitnehmers vor dem Betriebsübertrag erlöschen, gehen die daraus fliessenden Rechte und Pflichten nicht auf den Erwerber über (E. 3).</w:t>
      </w:r>
    </w:p>
    <w:p>
      <w:r>
        <w:t>Regeste Transfert des rapports de travail (art. 333 CO). L'art. 333 CO est-il applicable lorsque le transfert de l'entreprise s'opère dans le cadre d'une procédure de concordat par abandon d'actifs? Question laissée ouverte (consid. 2.2). Lorsque les rapports de travail s'éteignent avant le transfert de l'entreprise, à la suite de la mise à la retraite anticipée du travailleur, les droits et les obligations qui en découlent ne passent pas à l'acquéreur (consid. 3).</w:t>
      </w:r>
    </w:p>
    <w:p>
      <w:r>
        <w:t>Regesto Trasferimento dei rapporti di lavoro (art. 333 CO). L'art. 333 CO è applicabile se il trasferimento dell'azienda avviene nel quadro di una procedura di concordato con abbandono dell'attivo? Questione lasciata irrisolta (consid. 2.2). Qualora i rapporti di lavoro si estinguano prima del trasferimento dell'azienda, a seguito del pensionamento anticipato del dipendente, i diritti e gli obblighi che ne derivano non passano all'acquirente (consid. 3).</w:t>
      </w:r>
    </w:p>
    <w:p>
      <w:pPr>
        <w:pStyle w:val="Heading2"/>
      </w:pPr>
      <w:r>
        <w:t>Erwägungen</w:t>
      </w:r>
    </w:p>
    <w:p>
      <w:r>
        <w:rPr>
          <w:b/>
        </w:rPr>
        <w:t>E. 1.1</w:t>
      </w:r>
    </w:p>
    <w:p>
      <w:r>
        <w:t>Comme l'arrêt attaqué a été rendu après l'entrée en vigueur, le 1 er janvier 2007 (RO 2006 p. 1242), de la loi sur le Tribunal fédéral (LTF; RS 173.110), le recours est régi par le nouveau droit ( art. 132 al. 1 LTF ). Interjeté par la partie qui a succombé dans ses conclusions ( art. 76 al. 1 LTF ), en tant qu'elles visaient la défenderesse Swiss, et dirigé contre un jugement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100 al. 1 LTF ) et la forme ( art. 42 LTF ) prévus par la loi. 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Eu égard à l'exigence de motivation contenue à l' art. 42 al. 1 et 2 LTF , sous peine BGE 134 III 102 S. 105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1.2</w:t>
      </w:r>
    </w:p>
    <w:p>
      <w:r>
        <w:t>La demanderesse reproche à la Cour d'appel d'avoir méconnu l' art. 333 CO . Elle dénonce ainsi une prétendue violation du droit fédéral. Son recours est, dès lors, recevable.</w:t>
      </w:r>
    </w:p>
    <w:p>
      <w:r>
        <w:rPr>
          <w:b/>
        </w:rPr>
        <w:t>E. 2.1</w:t>
      </w:r>
    </w:p>
    <w:p>
      <w:r>
        <w:t>Il est incontesté, et du reste incontestable, que Swiss ne s'est jamais engagée envers la demanderesse à lui fournir quelque prestation que ce fût, soit directement, sur la base d'un contrat de travail ou d'une convention ad hoc , soit à titre subsidiaire, en cas de défaillance du débiteur (porte-fort, au sens de l' art. 111 CO ; cf. ATF 131 III 606 consid. 4.2.2). Les parties n'ont pas non plus conclu un contrat en vertu duquel la défenderesse se serait substituée à un débiteur de la demanderesse (reprise de dette externe, au sens de l' art. 176 CO ) et celle-là ne s'est pas davantage constituée débitrice de celle-ci aux côtés d'un autre obligé (reprise de dette cumulative; ATF 129 III 702 consid. 2.1 p. 704). Cela étant, le seul fondement juridique susceptible d'être invoqué, en l'espèce, par la demanderesse à l'appui de ses prétentions et de conférer à Swiss la qualité pour défendre (ou légitimation passive), en tant que sujet passif des créances litigieuses, réside dans un éventuel transfert automatique des rapports de travail, avec tous les droits et les obligations qui en découlent, aux conditions de l' art. 333 CO (cf. ATF 132 III 32 consid. 4.2.1).</w:t>
      </w:r>
    </w:p>
    <w:p>
      <w:r>
        <w:rPr>
          <w:b/>
        </w:rPr>
        <w:t>E. 2.2</w:t>
      </w:r>
    </w:p>
    <w:p>
      <w:r>
        <w:t>L'application de cette disposition soulève un certain nombre de questions délicates in casu . Il s'agit, en particulier, de déterminer si Swiss (ex-Crossair) s'est effectivement vu transférer l'entreprise ou une partie de celle-ci par Swissair/SAirGroup ou par Nouvelle Swissair et, dans l'affirmative, de décider si l' art. 333 CO est applicable ou non lorsqu'un tel transfert s'opère dans le cadre d'une procédure de concordat par abandon d'actifs ( art. 317 ss LP ) visant son auteur. Ces questions peuvent toutefois demeurer indécises dès lors que, pour le motif indiqué ci-après, le présent recours devra être rejeté, quelles que soient les réponses qui pourraient leur être données. BGE 134 III 102 S. 106</w:t>
      </w:r>
    </w:p>
    <w:p>
      <w:r>
        <w:rPr>
          <w:b/>
        </w:rPr>
        <w:t>E. 3.1.1</w:t>
      </w:r>
    </w:p>
    <w:p>
      <w:r>
        <w:t>Aux termes de l' art. 333 al. 1 CO , si l'employeur transfère l'entreprise ou une partie de celle-ci à un tiers, les rapports de travail passent à l'acquéreur avec tous les droits et les obligations qui en découlent, au jour du transfert, à moins que le travailleur ne s'y oppose. Selon la jurisprudence et la doctrine, seuls les rapports de travail existant au moment du transfert de l'entreprise passent à l'acquéreur ( ATF 123 III 466 consid. 3b p. 468; arrêt 4C.333/1998 du 7 janvier 1999, consid. 1b/aa; ULLIN STREIFF/ADRIAN VON KAENEL, Arbeitsvertrag, 6 e éd., n. 8 ad art. 333 CO , p. 554; GABRIEL AUBERT, Commentaire romand, n. 4 ad art. 333 CO ; WOLFGANG PORTMANN, Commentaire bâlois, n. 10 in fine ad art. 333 CO ; JEAN-LOUIS DUC/OLIVIER SUBILIA, Commentaire du contrat individuel de travail, n. 8 ad art. 333 CO , p. 335; THOMAS GEISER, Arbeitsrechtliche Fragen bei Sanierungen, in Sanierung der AG [éd. Vito Roberto], 2003, p. 119 ss, 141; ENDRIT KARAGJOZI, Les transferts d'entreprise en droit du travail, in Le droit du travail en pratique [éd. Gabriel Aubert], 2003, p. 65). La situation n'est pas différente en droit communautaire (voir les arrêts de la Cour de justice des Communautés européennes [CJCE] cités par KARAGJOZI, op. cit., p. 65, notes de pied 211 et 212). Il suit de là que le bénéfice de l' art. 333 CO ne peut être invoqué que par les seuls travailleurs dont la relation de travail est en cours à la date du transfert, mais qu'il peut l'être même si les rapports de travail ont déjà été résiliés pour une date postérieure à ce transfert (cf. ATF 132 III 32 ss; ATF 123 III 466 ss). L'acquéreur de l'entreprise n'a ainsi pas à reprendre des contrats de travail n'existant plus au moment du transfert (DUC/SUBILIA, ibid.). Demeure réservée la question, controversée, mais qui ne se pose pas en l'espèce, des conséquences de la résiliation d'un contrat de travail notifiée par l'employeur pour éluder la protection découlant de l' art. 333 al. 1 CO (cf. l'arrêt 4C.333/1998, précité, consid. 1b/bb et les références; voir aussi l'exposé - fait par SREIFF/VON KAENEL, op. cit., n. 10 ad art. 333 CO - des diverses opinions émises à ce sujet).</w:t>
      </w:r>
    </w:p>
    <w:p>
      <w:r>
        <w:rPr>
          <w:b/>
        </w:rPr>
        <w:t>E. 3.1.2</w:t>
      </w:r>
    </w:p>
    <w:p>
      <w:r>
        <w:t>Le contrat de travail, au sens de l' art. 319 CO , est celui par lequel une personne (le travailleur) s'oblige envers une autre (l'employeur) à fournir, dans un état de subordination, des services contre le paiement d'un salaire, pendant une période déterminée ou indéterminée (PIERRE ENGEL, Contrats de droit suisse, 2 e éd., p. 290 s.). BGE 134 III 102 S. 107 Le travailleur a deux obligations essentielles (cf. PIERRE TERCIER, Les contrats spéciaux, 3 e éd., n. 3044 ss): la première est d'exécuter personnellement et avec soin les services que l'employeur attend de lui ( art. 321 CO ); la seconde, de sauvegarder fidèlement les intérêts légitimes de l'employeur ( art. 321a al. 1 CO ), ce qui implique l'interdiction de travailler au noir ( art. 321a al. 3 CO ) et de divulguer des secrets ( art. 321a al. 4 CO ). Quant aux obligations de l'employeur (cf. TERCIER, op. cit., n. 3098 ss), elles consistent principalement à payer le salaire ( art. 322 al. 1 CO ) et à protéger la personnalité du travailleur ( art. 328 CO ), ce dernier devoir comprenant la protection de la personnalité au sens étroit, l'octroi de congés et de vacances ainsi que le paiement des cotisations aux assurances sociales (TERCIER, op. cit., n. 3100). Normalement le contrat de travail prévoit que les rapports de travail prennent fin lorsque le travailleur atteint l'âge de la retraite et la rente de vieillesse n'est plus versée par l'employeur, mais par un tiers, à savoir l'institution de prévoyance ( ATF 132 III 32 consid. 6.2.2 p. 46). Mais il se peut aussi que, pour telle ou telle raison, les rapports de travail s'éteignent avant que le travailleur ait atteint cet âge-là et que l'intéressé acquière le statut de préretraité. Suivant les circonstances, il bénéficiera alors de prestations que l'employeur se sera engagé à effectuer lui-même dans le but de favoriser un départ anticipé. Cependant, la situation de ce préretraité ne sera en rien comparable à celle du travailleur, car les éléments caractéristiques du contrat de travail et les obligations respectives des parties à ce contrat, tels qu'ils ont été rappelés plus haut, feront défaut dans cette hypothèse, quand bien même il subsistera une relation juridique entre le créancier et le débiteur de la prestation de préretraite. En particulier, le crédirentier sera libéré définitivement de son obligation de fournir un travail, sa situation se distinguant à cet égard de celle des personnes empêchées temporairement d'exécuter cette obligation pour différentes causes (maladie, accident, accouchement, etc.). De surcroît, il n'aura plus de devoir de fidélité à respecter envers son employeur, contrairement au travailleur qui a simplement été libéré de l'obligation de travailler par l'employeur ( ATF 128 III 271 consid. 4a/bb p. 281; ALFRED BLESI, Die Freistellung des Arbeitnehmers, thèse St-Gall 2000, p. 205 ss). Point n'est besoin d'examiner ici, étant donné que les circonstances de la présente cause y sont étrangères, le cas de figure, évoqué dans la doctrine, où la mise à la retraite anticipée du travailleur ne BGE 134 III 102 S. 108 consisterait qu'en une libération de l'obligation de travailler jusqu'à l'âge de la retraite, moyennant versement d'une prestation transitoire généralement inférieure au salaire, sans qu'il soit mis fin aux rapports de travail (au sujet de cette hypothèse, cf. ALFRED BLESI, Art. 333 OR und Haftung des Betriebsnachfolgers für Versprechen betreffend Frühpensionierung, in Jusletter du 8 mai 2006, n. 16).</w:t>
      </w:r>
    </w:p>
    <w:p>
      <w:r>
        <w:rPr>
          <w:b/>
        </w:rPr>
        <w:t>E. 3.2</w:t>
      </w:r>
    </w:p>
    <w:p>
      <w:r>
        <w:t>En l'espèce, la demanderesse a été mise à la retraite anticipée bien avant l'éventuel transfert de l'entreprise à Swiss. Il est manifeste que cette mise à la retraite a entraîné l'extinction des rapports de travail existants. Telle est du reste la conclusion à laquelle le Tribunal fédéral avait abouti en interprétant une lettre dont le contenu était comparable à celle que Swissair/SAirGroup a adressée le 11 juillet 1997 à la demanderesse pour l'informer de sa prochaine mise à la retraite anticipée ( ATF 131 III 606 consid. 5 p. 614; dans ce sens, cf. BLESI, dernier op. cit., ibid.). Ainsi, comme Swiss n'a pas repris les rapports de travail liant la demanderesse à son précédent employeur, les obligations y relatives, en particulier les dettes découlant du plan social (cf. ATF 132 III 32 consid. 6.2.2 p. 47), ne lui ont pas été transférées. La défenderesse n'est donc pas le sujet passif des créances litigieuses. Par conséquent, c'est à bon droit que l'autorité précédente lui a dénié la légitimation passive pour résister à l'action en paiement introduite par la demanderesse. Cela étant, le présent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