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14</w:t>
      </w:r>
    </w:p>
    <w:p>
      <w:r>
        <w:t>Bundesgericht (BGE), 2006-10-18, FR</w:t>
      </w:r>
    </w:p>
    <w:p>
      <w:r>
        <w:rPr>
          <w:b/>
        </w:rPr>
        <w:t xml:space="preserve">Quelle: </w:t>
      </w:r>
      <w:r>
        <w:t>https://mcp.opencaselaw.ch/entscheid/bge_BGE_133_V_14</w:t>
      </w:r>
    </w:p>
    <w:p>
      <w:r>
        <w:t>FR: ATF 133 V 14</w:t>
      </w:r>
    </w:p>
    <w:p>
      <w:r>
        <w:t>IT: DTF 133 V 14</w:t>
      </w:r>
    </w:p>
    <w:p>
      <w:pPr>
        <w:pStyle w:val="Heading2"/>
      </w:pPr>
      <w:r>
        <w:t>Regeste</w:t>
      </w:r>
    </w:p>
    <w:p>
      <w:r>
        <w:t>Regeste Art. 78 ATSG: Verantwortlichkeit des Versicherers. Versäumnis einer IV-Stelle, dem Ersuchen eines Arbeitgebers um Abgabe des besonderen Formulars zur Geltendmachung einer Drittauszahlung von Leistungsnachzahlungen stattzugeben. Schaden auf Grund der Tatsache, dass die Rentennachzahlungen bereits dem Versicherten und nicht dem Arbeitgeber, der diesem Vorschusszahlungen gewährt hatte, ausbezahlt wurden. Verantwortlichkeit bejaht.</w:t>
      </w:r>
    </w:p>
    <w:p>
      <w:r>
        <w:t>Regeste Art. 78 LPGA: Responsabilité de l'assureur. Omission d'un office AI de donner suite à une demande de l'employeur de remise de la formule spéciale en vue d'obtenir le remboursement des prestations arriérées. Dommage provenant du fait que les arriérés de rente ont été versés à l'assuré et non à l'employeur qui a fourni des avances à l'assuré. In casu, responsabilité admise.</w:t>
      </w:r>
    </w:p>
    <w:p>
      <w:r>
        <w:t>Regesto Art. 78 LPGA: Responsabilità dell'assicurato. Inosservanza, da parte di un ufficio AI, di una domanda del datore di lavoro volta alla consegna del modulo speciale per l'ottenimento del rimborso di prestazioni arretrate. Danno derivante dal fatto che gli arretrati di rendita sono stati versati all'assicurato e non al datore di lavoro che ha concesso degli anticipi all'assicurato. In casu, responsabilità ammessa.</w:t>
      </w:r>
    </w:p>
    <w:p>
      <w:pPr>
        <w:pStyle w:val="Heading2"/>
      </w:pPr>
      <w:r>
        <w:t>Erwägungen</w:t>
      </w:r>
    </w:p>
    <w:p>
      <w:r>
        <w:rPr>
          <w:b/>
        </w:rPr>
        <w:t>E. 1</w:t>
      </w:r>
    </w:p>
    <w:p>
      <w:r>
        <w:t>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w:t>
      </w:r>
    </w:p>
    <w:p>
      <w:r>
        <w:rPr>
          <w:b/>
        </w:rPr>
        <w:t>E. 2</w:t>
      </w:r>
    </w:p>
    <w:p>
      <w:r>
        <w:t>L'autorité compétente rend une décision sur les demandes en réparation. BGE 133 V 14 S. 17</w:t>
      </w:r>
    </w:p>
    <w:p>
      <w:r>
        <w:rPr>
          <w:b/>
        </w:rPr>
        <w:t>E. 3</w:t>
      </w:r>
    </w:p>
    <w:p>
      <w:r>
        <w:t>La responsabilité subsidiaire de la Confédération pour les institutions indépendantes de l'administration ordinaire de la Confédération est régie par l'art. 19 de la loi du 14 mars 1958 sur la responsabilité.</w:t>
      </w:r>
    </w:p>
    <w:p>
      <w:r>
        <w:rPr>
          <w:b/>
        </w:rPr>
        <w:t>E. 4</w:t>
      </w:r>
    </w:p>
    <w:p>
      <w:r>
        <w:t>Les dispositions de la présente loi s'appliquent à la procédure prévue aux al. 1 et 3. Il n'y a pas de procédure d'opposition. Les art. 3 à 9, 11, 12, 20, al. 1, 21 et 23 de la loi du 14 mars 1958 sur la responsabilité sont applicables par analogie.</w:t>
      </w:r>
    </w:p>
    <w:p>
      <w:r>
        <w:rPr>
          <w:b/>
        </w:rPr>
        <w:t>E. 5</w:t>
      </w:r>
    </w:p>
    <w:p>
      <w:r>
        <w:t>La responsabilité instituée par l' 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BGE 133 V 14 S. 18 1999 de la Commission du Conseil national de la sécurité sociale et de la santé [CSSS], FF 1999 4317). En matière d'assurance-invalidité, l' art. 59a LAI prévoit à cet effet que les demandes en réparation doivent être adressées à l'office AI, qui statue par voie de décision.</w:t>
      </w:r>
    </w:p>
    <w:p>
      <w:r>
        <w:rPr>
          <w:b/>
        </w:rPr>
        <w:t>E. 6</w:t>
      </w:r>
    </w:p>
    <w:p>
      <w:r>
        <w:t>Selon l' art. 20 al. 1 LRCF , auquel renvoie l' art. 78 al. 4 LPGA (voir aussi l' art. 70 al. 3 let. b LAVS auquel renvoie pour l'assurance-invalidité l' art. 66 LAI ), la responsabilité de la Confédération (en l'espèce l'assureur) s'éteint si le lésé n'introduit pas sa demande de dommages-intérêts ou d'indemnité à titre de réparation du tort moral dans l'année à compter du jour où il a eu connaissance du dommage. Il s'agit d'un délai de péremption, et non de prescription, lequel ne peut être interrompu, mais uniquement sauvegardé par le dépôt en temps utile de la demande. Par "connaissance du dommage", il faut entendre une connaissance telle que le demandeur puisse agir utilement, ce qui implique qu'il connaisse non seulement le dommage au sens strict, mais encore les autres conditions permettant de mettre en cause la responsabilité de la Confédération ( ATF 108 Ib 98 consid. 1b; consid. 2a de l'arrêt 5A.3/1999 du 18 janvier 2000 non publié aux ATF 126 II 63 ). En l'espèce, la recourante pouvait au plus tôt avoir connaissance du dommage allégué au moment où elle a été informée du fait que A. avait été mis au bénéfice d'une rente, par la décision du 20 janvier 2004, éventuellement au plus tard en prenant connaissance de la décision du 31 mars 2004 portant sur le décompte des rentes arriérées. En invitant, le 16 novembre 2004, l'office AI à rendre une décision en vertu de l' art. 78 LPGA , elle a introduit sa demande en temps utile.</w:t>
      </w:r>
    </w:p>
    <w:p>
      <w:r>
        <w:rPr>
          <w:b/>
        </w:rPr>
        <w:t>E. 7</w:t>
      </w:r>
    </w:p>
    <w:p>
      <w:r>
        <w:t>L' art. 78 al. 1 LPGA institue une responsabilité causale et ne présuppose donc pas une faute d'un organe de l'institution d'assurance (KIESER, op. cit., note 25 ad art. 78). En cela, il s'écarte de la décision du Conseil des Etats qui souhaitait limiter la responsabilité aux cas d'actes tombant sous le coup du droit pénal et du non-respect intentionnel ou par négligence grave des dispositions légales (FF 1991 II 204).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BGE 133 V 14 S. 19 Il n'est pas contesté, en l'espèce, que l'omission reprochée relève du domaine des attributions de l'office AI et que la recourante a subi un dommage. La question est donc de savoir si l'on est en présence d'un acte illicite et, dans l'affirmative, s'il existe un lien de causalité entre cet acte et le dommage.</w:t>
      </w:r>
    </w:p>
    <w:p>
      <w:r>
        <w:rPr>
          <w:b/>
        </w:rPr>
        <w:t>E. 8.1</w:t>
      </w:r>
    </w:p>
    <w:p>
      <w:r>
        <w:t>La condition de l'illicéité au sens de l' art. 3 al. 1 LRCF (auquel renvoie l' art. 78 al. 4 LPGA ) suppose que l'Etat,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une position de garant vis-à-vis du lésé et que les prescriptions qui déterminent la nature et l'étendue de ce devoir aient été violées (cf. ATF 123 II 583 consid. 4d/ff; ATF 118 Ib 476 consid. 2b; ATF 116 Ib 374 consid. 4c; PETER HÄNNI, Staatshaftung wegen Untätigkeit der Verwaltung, in Mélanges en l'honneur de Pierre Moor, Berne 2005, p. 342; JOST GROSS, Schweizerisches Staatshaftungsrecht, 2 e éd., Berne 2001, p. 175 ss). La jurisprudence a également considéré comme illicite la violation de principes généraux du droit (cf. ATF 118 Ib 476 consid. 2b; ATF 116 Ib 195 consid. 2a).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(Verhaltensunrecht) (cf. ATF 118 Ib 476 consid. 2b; PIERRE WESSNER, Au menu: boeuf, salades et fromages contaminés ou la notion d'illicéité dans tous ses états, in: Gastronomie, alimentation et droit, Mélanges en l'honneur de Pierre Widmer, Zurich 2003, p. 249 sv.). Exceptionnellement, l'illicéité dépend de la gravité de la violation. C'est le cas lorsque l'illicéité reprochée procède d'un acte juridique (une décision, un jugement). Dans ce cas, seule la violation d'une prescription importante des devoirs de fonction est susceptible BGE 133 V 14 S. 20 d'engager la responsabilité de l'Etat (cf. ATF 132 II 317 consid. 4.1; ATF 123 II 582 consid. 4d/dd ).</w:t>
      </w:r>
    </w:p>
    <w:p>
      <w:r>
        <w:rPr>
          <w:b/>
        </w:rPr>
        <w:t>E. 8.2</w:t>
      </w:r>
    </w:p>
    <w:p>
      <w:r>
        <w:t>L'omission reprochée par la recourante aux organes de l'assurance-invalidité réside dans le fait que ceux-ci ne lui ont pas envoyé une formule de remboursement, bien qu'elle eût informé l'office AI qu'elle versait des avances et qu'elle eût clairement manifesté sa volonté de recevoir un tel document. La recourante soutient avoir subi un dommage de ce fait, car elle n'a pas été en mesure de récupérer sur les arriérés de rente versés à l'assuré tout ou partie des avances de salaire qu'elle a consenties à ce dernier avant que l'office AI rende sa décision de rente. L'intimé ne conteste pas ces manquements et admet avoir commis une erreur. Les premiers juges considèrent toutefois à ce propos qu'aucune disposition ne prescrit l'envoi à l'employeur d'une formule spéciale de remboursement des avances, ni la transmission d'une demande de versement de rente de l'employeur à la caisse de compensation compétente. Pour le reste, on peut douter qu'un simple oubli de l'office AI de faire suite à une demande de l'employeur constitue une violation d'un devoir essentiel de service. Il s'agit, selon les premiers juges, d'une simple inadvertance, qu'on ne saurait guère qualifier d'acte illicite.</w:t>
      </w:r>
    </w:p>
    <w:p>
      <w:r>
        <w:rPr>
          <w:b/>
        </w:rPr>
        <w:t>E. 8.3</w:t>
      </w:r>
    </w:p>
    <w:p>
      <w:r>
        <w:t>Sous le titre "Versement de l'arriéré d'une rente au tiers ayant fait une avance", l' art. 85 bis RAI prévoit ceci: 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 art. 20 LAVS . Les organismes ayant consenti une avance doivent faire valoir leurs droits au moyen d'un formulaire spécial, au plus tôt lors de la demande de rente et, au plus tard au moment de la décision de l'office AI. 2 Sont considérées comme une avance, les prestations a. librement consenties, que l'assuré s'est engagé à rembourser, pour autant qu'il ait convenu par écrit que l'arriéré serait versé au tiers ayant effectué l'avance; b. versées contractuellement ou légalement, pour autant que le droit au remboursement, en cas de paiement d'une rente, puisse être déduit sans équivoque du contrat ou de la loi. BGE 133 V 14 S. 21 3 Les arrérages de rente peuvent être versés à l'organisme ayant consenti une avance jusqu'à concurrence, au plus, du montant de celle-ci et pour la période à laquelle se rapportent les rentes. Les avances librement consenties selon l' art. 85 bis al. 2 let. a RAI supposent le consentement écrit de la personne intéressée pour que le créancier puisse en exiger le remboursement. Dans l'éventualité de l' art. 85 bis al. 2 let. b RAI ,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(voir par exemple VSI 2003 p. 265, I 31/00; cf. aussi ATF 131 V 249 consid. 6.2).</w:t>
      </w:r>
    </w:p>
    <w:p>
      <w:r>
        <w:rPr>
          <w:b/>
        </w:rPr>
        <w:t>E. 8.4</w:t>
      </w:r>
    </w:p>
    <w:p>
      <w:r>
        <w:t>L' art. 85 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Les tiers lésés peuvent se prévaloir des règles sur le versement de l'arriéré dont la violation peut engager la responsabilité de l'assureur. C'est le cas quand celui-ci néglige de donner suite à une demande de remboursement en versant à l'assuré des arriérés qui auraient dû être rétrocédés à un tiers créancier. Le chiffre 13 du questionnaire rempli par l'employeur (en l'espèce la Commune de X.) vise à mettre en oeuvre l'application de l' art. 85 bis RAI de manière à permettre à l'employeur d'exercer son droit au remboursement. Il fixe des modalités qui tendent à protéger de manière efficace les droits du créancier. A partir du moment où l'office AI est en possession d'une demande de remboursement de l'employeur, il est tenu d'en garantir la bonne exécution par l'envoi de la formule spéciale ou par un autre moyen approprié. Même si la loi ne sanctionne pas, formellement, l'omission de l'envoi de la formule spéciale, on doit assimiler ce manquement à l'inexécution par l'office AI d'une demande de remboursement présentée en bonne et due forme. Au demeurant, le principe de la bonne foi commande également que l'administration respecte la procédure qu'elle a elle-même instituée à l'égard de l'employeur créancier (cf. art. 5 al. 3 Cst. ). Peu importe par ailleurs que l'acte BGE 133 V 14 S. 22 omis ne constitue pas une violation essentielle d'un devoir de fonction (supra consid. 8.1 in fine). On doit ainsi admettre, contrairement à l'opinion de la juridiction cantonale, que l'omission de l'office AI constitue en l'espèce un acte illicite.</w:t>
      </w:r>
    </w:p>
    <w:p>
      <w:r>
        <w:rPr>
          <w:b/>
        </w:rPr>
        <w:t>E. 9.1</w:t>
      </w:r>
    </w:p>
    <w:p>
      <w:r>
        <w:t>Les premiers juges considèrent en outre qu'il n'y a pas de lien de causalité entre l'omission de l'office AI et le dommage. En effet, A. n'a pas donné, après coup, son accord écrit au versement de l'arriéré directement en mains de la commune. Si l'office AI avait envoyé en temps opportun la formule de demande de versement du paiement rétroactif, cela n'aurait pas empêché la survenance du dommage allégué, car l'intéressé n'aurait de toute façon pas consenti au paiement d'arriérés éventuels en faveur de la commune.</w:t>
      </w:r>
    </w:p>
    <w:p>
      <w:r>
        <w:rPr>
          <w:b/>
        </w:rPr>
        <w:t>E. 9.2</w:t>
      </w:r>
    </w:p>
    <w:p>
      <w:r>
        <w:t>Dès lors que le manquement retenu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 ATF 132 III 311 consid. 3.5; ATF 115 II 449 consid. 6a).</w:t>
      </w:r>
    </w:p>
    <w:p>
      <w:r>
        <w:rPr>
          <w:b/>
        </w:rPr>
        <w:t>E. 9.3</w:t>
      </w:r>
    </w:p>
    <w:p>
      <w:r>
        <w:t>En l'espèce, le refus de A. a été signifié après la décision de rente et après que l'intéressé a reçu les paiements arriérés. Or, la commune a versé un salaire jusqu'au 31 juillet 2003. Si l'office AI avait retourné la formule de cession après réception du questionnaire de l'employeur (janvier 2003), on peut penser que l'assuré aurait cédé d'éventuels arriérés de rente afin d'éviter que la commune ne mît fin au versement du salaire. En outre, comme le relève la recourante, l'art. 45 du statut du personnel de l'administration communale prévoit qu'en cas d'absence due à une maladie ou un accident professionnel, le traitement est payé en entier pendant toute la durée de l'incapacité de travail et au plus tard jusqu'à l'obtention d'une rente AI. Cette même disposition prévoit que pendant les périodes d'absence (pour cause d'incapacité de travail), les prestations d'assurances sociales sont acquises à l'employeur jusqu'à concurrence du traitement versé par lui. On peut considérer que cette norme de droit public confère, sans équivoque, un droit au remboursement des arriérés de rente, conformément à BGE 133 V 14 S. 23 l' art. 85 bis al. 2 let. b RAI (voir à propos d'une norme analogue de droit public VSI 2002 p. 167 sv. consid. 5b/bb, I 282/99; voir aussi les arrêts publiés dans VSI 2003 p. 265, I 31/00 et 2002 p. 163, I 282/99 dans lesquels le Tribunal fédéral des assurances n'a pas admis un droit au remboursement s'agissant d'une clause de restitution qui s'adressait à l'assuré et insérée dans des conditions générales d'assurance). On peut donc en inférer que le consentement de l'assuré n'était certainement pas nécessaire en l'espèce. En cas de refus de l'assuré de céder ses droits aux arrérages de rente, la commune aurait encore eu la possibilité d'en obtenir le remboursement en invoquant un droit découlant d'une norme de droit public.</w:t>
      </w:r>
    </w:p>
    <w:p>
      <w:r>
        <w:rPr>
          <w:b/>
        </w:rPr>
        <w:t>E. 10.1</w:t>
      </w:r>
    </w:p>
    <w:p>
      <w:r>
        <w:t>Selon les premiers juges, on pouvait, en tout état de cause, attendre de la commune qu'elle interpelle l'office AI avant la fin de l'année 2003, ce qui aurait fait apparaître le défaut de communication de la formule spéciale avant la notification de la décision de rente. Cela se justifiait d'autant plus que le contrat de travail avait été résilié au cours de l'année 2003, ce qui devait inciter l'employeur à plus de diligence pour contrôler le déroulement de la procédure en matière d'assurance-invalidité. En outre, en répondant, le 15 octobre 2003, à une lettre que lui avait adressée l'office AI le 13 octobre 2003 (relative au rendement de l'assuré), la commune aurait dû constater, en faisant preuve d'attention, qu'elle n'avait toujours pas reçu la formule de demande de versement des paiements rétroactifs de rente, ce qui aurait dû l'amener à s'enquérir au sujet de ce manquement auprès de l'office AI. Les premiers juges soulèvent - sans toutefois la trancher - la question d'une faute propre du lésé de nature à interrompre le lien de causalité entre l'omission reprochée et le préjudice allégué.</w:t>
      </w:r>
    </w:p>
    <w:p>
      <w:r>
        <w:rPr>
          <w:b/>
        </w:rPr>
        <w:t>E. 10.2</w:t>
      </w:r>
    </w:p>
    <w:p>
      <w:r>
        <w:t>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BGE 133 V 14 S. 24 comportement de l'auteur ( ATF 130 III 188 consid. 5.4; consid. 5 de l'arrêt du 13 septembre 2005 [4C.422/2004] non publié aux ATF 132 III 122 ). Tel n'est pas le cas en l'espèce. On pouvait certes s'attendre à ce que la commune relance l'administration afin d'obtenir la formule demandée. D'un autre côté, on peut comprendre que la commune n'ait pas entrepris de démarches particulières en partant de l'idée qu'elle avait fait le nécessaire pour obtenir le remboursement de ses avances, d'autant qu'elle pouvait s'attendre à ce que la décision de rente de l'assurance-invalidité n'intervînt pas dans l'immédiat (voir la remarque 4 à laquelle renvoie le ch. 13 du questionnaire à l'employeur). En négligeant de s'inquiéter sur la suite qui avait été faite à sa demande de remboursement, elle n'a pas commis une faute lourde au point de rendre inadéquate l'omission des organes de l'assurance-invalidité.</w:t>
      </w:r>
    </w:p>
    <w:p>
      <w:r>
        <w:rPr>
          <w:b/>
        </w:rPr>
        <w:t>E. 10.3</w:t>
      </w:r>
    </w:p>
    <w:p>
      <w:r>
        <w:t>Quant à la question de savoir si l'on est en présence d'une faute propre, susceptible d'entraîner une réduction du dommage ( art. 4 LRCF en corrélation avec l' art. 78 al. 4 LPGA ), il appartiendra au Tribunal des assurances du canton de Vaud, à qui la cause sera renvoyée, de la trancher (infra consid. 11).</w:t>
      </w:r>
    </w:p>
    <w:p>
      <w:r>
        <w:rPr>
          <w:b/>
        </w:rPr>
        <w:t>E. 11</w:t>
      </w:r>
    </w:p>
    <w:p>
      <w:r>
        <w:t>En conclusion, les conditions de la responsabilité prévues par l' art. 78 al. 1 LPGA - en particulier un acte illicite et un lien de causalité entre l'omission et le dommage subi - sont réalisées. Il convient, en conséquence, de renvoyer la cause à la juridiction cantonale pour qu'elle établisse le montant du dommage, qui correspond au montant rétroactif auquel aurait pu prétendre la recourante, compte tenu, par ailleurs, des prétentions au remboursement de l'assureur-maladie et de l'institution de prévoyance.</w:t>
      </w:r>
    </w:p>
    <w:p>
      <w:r>
        <w:rPr>
          <w:b/>
        </w:rPr>
        <w:t>E. 12</w:t>
      </w:r>
    </w:p>
    <w:p>
      <w:r>
        <w:t>(Frais)</w:t>
      </w:r>
    </w:p>
    <w:p>
      <w:r>
        <w:rPr>
          <w:b/>
        </w:rPr>
        <w:t>E. 13</w:t>
      </w:r>
    </w:p>
    <w:p>
      <w:r>
        <w:t>(Depens)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