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98</w:t>
      </w:r>
    </w:p>
    <w:p>
      <w:r>
        <w:t>Bundesgericht (BGE), 2006-12-14, DE</w:t>
      </w:r>
    </w:p>
    <w:p>
      <w:r>
        <w:rPr>
          <w:b/>
        </w:rPr>
        <w:t xml:space="preserve">Quelle: </w:t>
      </w:r>
      <w:r>
        <w:t>https://mcp.opencaselaw.ch/entscheid/bge_BGE_133_I_98</w:t>
      </w:r>
    </w:p>
    <w:p>
      <w:r>
        <w:t>FR: ATF 133 I 98</w:t>
      </w:r>
    </w:p>
    <w:p>
      <w:r>
        <w:t>IT: DTF 133 I 98</w:t>
      </w:r>
    </w:p>
    <w:p>
      <w:pPr>
        <w:pStyle w:val="Heading2"/>
      </w:pPr>
      <w:r>
        <w:t>Regeste</w:t>
      </w:r>
    </w:p>
    <w:p>
      <w:r>
        <w:t>Regeste Art. 29 Abs. 2 BV, Art. 6 Ziff. 1 EMRK; Anspruch auf rechtliches Gehör. Anspruch, sich gegenüber dem Gericht zu Eingaben der übrigen Verfahrensparteien, unteren Instanzen und weiteren Stellen zu äussern (Replikrecht): Verhältnis von Art. 29 Abs. 2 BV und Art. 6 Ziff. 1 EMRK (E. 2.1). Verfahrensrechtliche Möglichkeiten zur Umsetzung des Replikrechts in Gerichtsverfahren (E. 2.2 und 2.3).</w:t>
      </w:r>
    </w:p>
    <w:p>
      <w:r>
        <w:t>Regeste Art. 29 al. 2 Cst., art. 6 par. 1 CEDH; droit d'être entendu. Droit de s'exprimer sur les observations présentées au tribunal par les parties adverses, les instances inférieures et autres autorités (droit de réplique): rapport entre les art. 29 al. 2 Cst. et 6 par. 1 CEDH (consid. 2.1). Possibilités d'aménager ce droit de réplique dans les procédures judiciaires (consid. 2.2 et 2.3).</w:t>
      </w:r>
    </w:p>
    <w:p>
      <w:r>
        <w:t>Regesto Art. 29 cpv. 2 Cost., art. 6 n. 1 CEDU; diritto di essere sentito. Diritto di esprimersi dinanzi al tribunale sulle osservazioni delle altre parti, delle istanze inferiori e di ulteriori autorità (diritto di replica): rapporto tra l'art. 29 cpv. 2 Cost. e l'art. 6 n. 1 CEDU (consid. 2.1). Possibilità di attuare il diritto di replica nella procedura giudiziaria (consid. 2.2 e 2.3).</w:t>
      </w:r>
    </w:p>
    <w:p>
      <w:pPr>
        <w:pStyle w:val="Heading2"/>
      </w:pPr>
      <w:r>
        <w:t>Erwägungen</w:t>
      </w:r>
    </w:p>
    <w:p>
      <w:r>
        <w:rPr>
          <w:b/>
        </w:rPr>
        <w:t>E. 2</w:t>
      </w:r>
    </w:p>
    <w:p>
      <w:r>
        <w:t>In der Beschwerde wird der Verfahrensantrag gestellt, es seien den Beschwerdeführern allfällige Vernehmlassungen der Beschwerdegegner zur Stellungnahme, jedenfalls aber zur Kenntnisnahme zuzustellen.</w:t>
      </w:r>
    </w:p>
    <w:p>
      <w:r>
        <w:rPr>
          <w:b/>
        </w:rPr>
        <w:t>E. 2.1</w:t>
      </w:r>
    </w:p>
    <w:p>
      <w:r>
        <w:t>Der Anspruch einer Partei, im Rahmen eines Gerichtsverfahrens zu replizieren, bildet einen Teilgehalt des verfassungsmässi gen Anspruchs auf rechtliches Gehör ( Art. 29 Abs. 2 BV ). Im Anwendungsbereich von Art. 6 Ziff. 1 EMRK ist es den Gerichten nicht gestattet, einer Partei das Äusserungsrecht zu eingegangenen Stellungnahmen bzw. Vernehmlassungen der übrigen Verfahrensparteien, unteren Instanzen und weiteren Stellen abzuschneiden. Die Partei ist vom Gericht nicht nur über den Eingang dieser Eingaben zu orientieren; sie muss ausserdem die Möglichkeit zur Replik haben ( BGE 132 I 42 E. 3.3.3 S. 47 mit Hinweisen auf die Rechtsprechung des Europäischen Gerichtshofs für Menschenrechte). Art. 29 Abs. 2 BV gebietet, dass die Gerichte diesen Grundsatz auch ausserhalb von Art. 6 Ziff. 1 EMRK beachten. In diesem Sinne ist festzustellen, dass Art. 29 Abs. 2 BV und Art. 6 Ziff. 1 EMRK im Hinblick auf das Replikrecht in gerichtlichen Verfahren dieselbe Tragweite zukommt. Inwiefern Art. 29 Abs. 2 BV ein Replikrecht auch in Verwaltungsverfahren verleiht, kann hier offenbleiben.</w:t>
      </w:r>
    </w:p>
    <w:p>
      <w:r>
        <w:rPr>
          <w:b/>
        </w:rPr>
        <w:t>E. 2.2</w:t>
      </w:r>
    </w:p>
    <w:p>
      <w:r>
        <w:t>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 Ein solcher wird jedoch nur ausnahmsweise eröffnet (vgl. Art. 93 Abs. 3, Art. 110 Abs. 4 OG , neu: Art. 102 Abs. 3 BGG [SR 173.110]). Ferner kann das Gericht zur Wahrung des rechtlichen Gehörs Eingaben den Verfahrensbeteiligten mit förmlicher Fristansetzung zur freigestellten Vernehmlassung zukommen lassen, was im Bereich des Haftrechts regelmässig der Fall ist. Schliesslich wird eine neu eingegangene Eingabe den Parteien häufig ohne ausdrücklichen Hinweis auf allfällige weitere Äusserungsmöglichkeiten zur (blossen) Kenntnisnahme übermittelt. Kommen Verfahrensbeteiligte, welche eine solche Eingabe ohne Fristansetzung erhalten haben, zum Schluss, sie möchten nochmals zur Sache Stellung nehmen, so sollen sie dies aus Gründen des BGE 133 I 98 S. 100 Zeitgewinns tun, ohne vorher darum nachzusuchen. Nach Treu und Glauben hat dies jedoch umgehend zu erfolgen. Das Bundesgericht wartet bei der letztgenannten Vorgehensweise mit der Entscheidfällung zu, bis es annehmen darf, der Adressat habe auf eine weitere Eingabe verzichtet.</w:t>
      </w:r>
    </w:p>
    <w:p>
      <w:r>
        <w:rPr>
          <w:b/>
        </w:rPr>
        <w:t>E. 2.3</w:t>
      </w:r>
    </w:p>
    <w:p>
      <w:r>
        <w:t>Diese Grundsätze sind auch anwendbar auf Fälle, in denen - wie hier - bereits in der Beschwerdeschrift eine Replikmöglichkeit beantragt wird. Insbesondere kann eine neue Eingabe den Verfahrensbeteiligten auch bei dieser Konstellation ohne Fristansetzung zur Kenntnisnahme zugestellt werden. Im vorliegenden Fall wurden den Beschwerdeführern vom Bundesgericht die Stellungnahmen der Beschwerdegegnerin, des Regierungsrates und des Verwaltungsgerichts sowie die Bemerkungen des Bundesamts für Umwelt am 14. September 2006 zur Kenntnisnahme zugestellt. Damit wurde das Hauptanliegen des Verfahrensantrags erfüllt. Auf diese Zustellung hin haben die Beschwerdeführer nicht reagiert. Unter diesen Umständen ist anzunehmen, sie hätten auf weitere Äusserungen verzichtet; es besteht - nicht zuletzt mit Blick auf das Beschleunigungsgebot - keine Veranlassung, ihnen jetzt noch eine Replikmöglichkeit einzuräumen.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