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201</w:t>
      </w:r>
    </w:p>
    <w:p>
      <w:r>
        <w:t>Bundesgericht (BGE), 2007-07-06, DE</w:t>
      </w:r>
    </w:p>
    <w:p>
      <w:r>
        <w:rPr>
          <w:b/>
        </w:rPr>
        <w:t xml:space="preserve">Quelle: </w:t>
      </w:r>
      <w:r>
        <w:t>https://mcp.opencaselaw.ch/entscheid/bge_BGE_133_I_201</w:t>
      </w:r>
    </w:p>
    <w:p>
      <w:r>
        <w:t>FR: ATF 133 I 201</w:t>
      </w:r>
    </w:p>
    <w:p>
      <w:r>
        <w:t>IT: DTF 133 I 201</w:t>
      </w:r>
    </w:p>
    <w:p>
      <w:pPr>
        <w:pStyle w:val="Heading2"/>
      </w:pPr>
      <w:r>
        <w:t>Regeste</w:t>
      </w:r>
    </w:p>
    <w:p>
      <w:r>
        <w:t>Regeste Art. 9 und 29 Abs. 2 BV; § 4 Abs. 1 des thurgauischen Gesetzes über die Kinder- und Ausbildungszulagen; § 20 Abs. 1 des thurgauischen Gesetzes über die Verwaltungsrechtspflege; Eröffnung einer Verfügung über Kinderzulagen. Die Verfügung über Kinderzulagen, welche dem Arbeitnehmer zustehen, ist diesem zu eröffnen. Eine Zustellung an den Arbeitgeber mit der Bitte, die Verfügung an den Arbeitnehmer weiterzuleiten, genügt nicht. Dieses Vorgehen verletzt das Willkürverbot und den Anspruch auf rechtliches Gehör (E. 2.1). Offengelassen, ob eine Heilung des Mangels im Rechtsmittelverfahren grundsätzlich möglich wäre. Jedenfalls genügt es nicht, wenn dem Arbeitnehmer lediglich der Entscheid einer gerichtlichen Rechtsmittelinstanz zugestellt wird, welche nur über eingeschränkte Kognition verfügt (E. 2.3).</w:t>
      </w:r>
    </w:p>
    <w:p>
      <w:r>
        <w:t>Regeste Art. 9 et 29 al. 2 Cst.; § 4 al. 1 de la loi cantonale thurgovienne relative aux allocations pour enfants et de formation; § 20 al. 1 de la loi cantonale thurgovienne de procédure administrative; notification d'une décision relative aux allocations pour enfants. La décision relative aux allocations pour enfants auxquelles peut prétendre un travailleur doit lui être notifiée. Une notification à l'employeur, avec une invitation à transmettre la décision au travailleur, ne suffit pas. Ce procédé viole le principe d'interdiction de l'arbitraire et le droit d'être entendu (consid. 2.1). Le point de savoir si le vice de procédure peut être réparé à l'occasion de la procédure de recours a été laissé ouvert. Dans tous les cas, la notification au travailleur d'un jugement d'une autorité judiciaire de recours ne disposant que d'un pouvoir d'examen limité ne suffit pas (consid. 2.3).</w:t>
      </w:r>
    </w:p>
    <w:p>
      <w:r>
        <w:t>Regesto Art. 9 e 29 cpv. 2 Cost.; § 4 cpv. 1 della legge turgoviese sugli assegni per i figli e per la formazione; § 20 cpv. 1 della legge turgoviese di procedura amministrativa; notifica di una decisione relativa agli assegni per i figli. La decisione relativa agli assegni per i figli, di spettanza del lavoratore, dev'essere notificata a quest'ultimo. Una notifica al datore di lavoro con l'invito di trasmettere la decisione al lavoratore non è sufficiente. Siffatto modo di procedere viola il divieto dell'arbitrio e il diritto di essere sentito (consid. 2.1). Lasciata aperta la questione della possibilità di principio di sanare il vizio nella procedura di ricorso. Ad ogni modo non basta la sola notifica al lavoratore del giudizio di un'istanza giudiziaria di ricorso dotata di potere cognitivo limitato (consid. 2.3).</w:t>
      </w:r>
    </w:p>
    <w:p>
      <w:pPr>
        <w:pStyle w:val="Heading2"/>
      </w:pPr>
      <w:r>
        <w:t>Erwägungen</w:t>
      </w:r>
    </w:p>
    <w:p>
      <w:r>
        <w:rPr>
          <w:b/>
        </w:rPr>
        <w:t>E. 1</w:t>
      </w:r>
    </w:p>
    <w:p>
      <w:r>
        <w:t>Mit der Beschwerde kann die Verletzung von Bundesrecht gerügt werden (Art. 95 lit. a des Bundesgesetzes vom 17. Juni 2005 über das Bundesgericht [BGG; SR 173.110]). Der Begriff des Bundesrechts umfasst die von den Bundesorganen erlassenen Rechtsnormen aller Erlassstufen, insbesondere die Bundesverfassung, die Bundesgesetze sowie die verschiedenen Arten von Verordnungen (SEILER/VON WERDT/GÜNGERICH, Bundesgerichtsgesetz [BGG], Bern 2007, S. 401, N. 12 ff. zu Art. 95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BGE 128 I 177 E. 2.1 S. 182; BGE 125 V 408 E. 3a S. 408 f., je mit Hinweisen; zum Begriff der Willkür: BGE 132 III 209 E. 2.1 S. 211 mit Hinweisen). Was die Feststellung des Sachverhalts anbelangt, kann mit der Beschwerde nur gerügt werden, diese sei offensichtlich unrichtig oder beruhe auf einer Rechtsverletzung nach Art. 95 ( Art. 97 Abs. 1 BGG ).</w:t>
      </w:r>
    </w:p>
    <w:p>
      <w:r>
        <w:rPr>
          <w:b/>
        </w:rPr>
        <w:t>E. 2</w:t>
      </w:r>
    </w:p>
    <w:p>
      <w:r>
        <w:t>Die Beschwerdeführerinnen lassen in formeller Hinsicht rügen, die Verfügung der Familienausgleichskasse vom 8. Mai 2006 sei zu Unrecht nur der Arbeitgeberin und nicht der primär betroffenen Arbeitnehmerin eröffnet worden. BGE 133 I 201 S. 204</w:t>
      </w:r>
    </w:p>
    <w:p>
      <w:r>
        <w:rPr>
          <w:b/>
        </w:rPr>
        <w:t>E. 2.1</w:t>
      </w:r>
    </w:p>
    <w:p>
      <w:r>
        <w:t>Anspruch auf Kinder- oder Ausbildungszulagen haben gemäss § 4 Abs. 1 des thurgauischen Gesetzes vom 29. September 1986 über die Kinder- und Ausbildungszulagen (KAZG/TG; RB 836.1) "Arbeitnehmer für die Dauer des Arbeitsverhältnisses, sofern ihr Arbeitgeber diesem Gesetz untersteht". Dementsprechend regelt das Gesetz laut § 2 Abs. 1 "die Ansprüche der Arbeitnehmer nichtlandwirtschaftlicher Berufe auf Kinder- und Ausbildungszulagen". Anspruchsberechtigt und damit als Partei in das Verwaltungsverfahren einzubeziehen war somit die Beschwerdeführerin 2 (vgl. Urteil des Bundesgerichts 2P.108/2006 vom 11. August 2006, E. 1.2). Gemäss § 20 Abs. 1 des thurgauischen Gesetzes vom 23. Februar 1981 über die Verwaltungsrechtspflege (VRG/TG; RB 170.1) sind Entscheide "den Beteiligten und den betroffenen Dritten schriftlich zu eröffnen". Daraus wird ohne weiteres deutlich, dass die Verfügung (zumindest auch) zwingend der Beschwerdeführerin 2 hätte eröffnet werden müssen. Eine andere Auslegung des kantonalen Verfahrensrechts muss als unhaltbar und damit willkürlich bezeichnet werden. Das Gebot, einen Entscheid den direkt betroffenen Personen zu eröffnen, ergibt sich überdies als elementares Prinzip aus dem Anspruch auf rechtliches Gehör nach Art. 29 Abs. 2 BV (vgl. JÖRG PAUL MÜLLER, Grundrechte in der Schweiz, 3. Aufl., Bern 1999, S. 519). Die Familienausgleichskasse hätte somit ihre Verfügung vom 8. Mai 2006 nicht lediglich der die Zulagen auszahlenden Arbeitgeberin, sondern auch und in erster Linie der Arbeitnehmerin zustellen müssen, welche in der Folge auch zur Anfechtung auf dem Rechtsmittelweg legitimiert gewesen wäre (vgl. zum Grundsatz der Einheit des Prozesses: BGE 130 V 560 E. 4.3 S. 568 f.). Die Verfügung vom 8. Mai 2006 wurde jedoch einzig der Arbeitgeberin eröffnet. Der Hinweis, diese werde gebeten, das Doppel der Verfügung dem Bezüger auszuhändigen, vermag eine formelle Eröffnung nicht zu ersetzen. Das Vorgehen der Verwaltung verstösst deshalb gegen Bundesrecht.</w:t>
      </w:r>
    </w:p>
    <w:p>
      <w:r>
        <w:rPr>
          <w:b/>
        </w:rPr>
        <w:t>E. 2.2</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an die Verwaltung ist selbst bei einer schwerwiegenden Verletzung des BGE 133 I 201 S. 205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2.3</w:t>
      </w:r>
    </w:p>
    <w:p>
      <w:r>
        <w:t>Die Beschwerdeführerin 2 wurde weder in das Verfahren vor der Rekurskommission einbezogen, noch wurde ihr deren Entscheid eröffnet. Auch im Verfahren vor dem Verwaltungsgericht, welches zudem nicht über volle Kognition verfügt (§ 56 Abs. 1 und 2 VRG/ TG), erfolgte keine eigentliche Beiladung der Beschwerdeführerin 2, sondern es wurde ihr lediglich der Endentscheid zugestellt. Das Gericht hielt sogar ausdrücklich fest, es dränge sich nicht auf, der Beschwerdeführerin 2 Gelegenheit zu bieten, sich am Verfahren zu beteiligen, denn es dürfe "wohl davon ausgegangen werden, dass alle Argumente gegen die Verfügung vom 8. Mai 2006 vorgebracht sind." Die Möglichkeit einer Beschwerde an das Bundesgericht mit der für dieses geltenden Kognition (E. 1 hiervor) ist offensichtlich nicht geeignet, eine Heilung des durch die unterbliebene Eröffnung der Verfügung entstandenen Verfahrensmangels zu ermöglichen. Damit kann offenbleiben, ob allenfalls unter anderen Umständen eine Heilung eines derartigen Mangels denkbar wäre. Die Verfügung und die sie bestätigenden Entscheide vermögen daher gegenüber der Beschwerdeführerin 2 keine Rechtswirkungen zu entfalten. Diesbezüglich wird eine korrekte Eröffnung noch vorzunehmen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