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93</w:t>
      </w:r>
    </w:p>
    <w:p>
      <w:r>
        <w:t>Bundesgericht (BGE), 2006-01-01, DE</w:t>
      </w:r>
    </w:p>
    <w:p>
      <w:r>
        <w:rPr>
          <w:b/>
        </w:rPr>
        <w:t xml:space="preserve">Quelle: </w:t>
      </w:r>
      <w:r>
        <w:t>https://mcp.opencaselaw.ch/entscheid/bge_BGE_133_IV_93</w:t>
      </w:r>
    </w:p>
    <w:p>
      <w:r>
        <w:t>FR: ATF 133 IV 93</w:t>
      </w:r>
    </w:p>
    <w:p>
      <w:r>
        <w:t>IT: DTF 133 IV 93</w:t>
      </w:r>
    </w:p>
    <w:p>
      <w:pPr>
        <w:pStyle w:val="Heading2"/>
      </w:pPr>
      <w:r>
        <w:t>Regeste</w:t>
      </w:r>
    </w:p>
    <w:p>
      <w:r>
        <w:t>Regeste Art. 126 BStP; Verfahren bei Anklagemängeln. Beurteilt die Strafkammer des Bundesstrafgerichts eine Anklage als mangelhaft, so hat sie diese an die Bundesanwaltschaft zur Verbesserung zurückzuweisen (E. 2).</w:t>
      </w:r>
    </w:p>
    <w:p>
      <w:r>
        <w:t>Regeste Art. 126 PPF; procédure en cas d'acte d'accusation insuffisant. Lorsque la cour des affaires pénales du Tribunal pénal fédéral considère qu'un acte d'accusation est insuffisant, elle doit le retourner au Ministère public de la Confédération pour qu'il soit complété (consid. 2).</w:t>
      </w:r>
    </w:p>
    <w:p>
      <w:r>
        <w:t>Regesto Art. 126 PP; procedura in caso di atto d'accusa incompleto. Qualora la Corte penale del Tribunale penale federale giudichi insufficiente l'atto d'accusa, deve rinviarlo al Ministero pubblico della Confederazione affinché lo completi (consid. 2).</w:t>
      </w:r>
    </w:p>
    <w:p>
      <w:pPr>
        <w:pStyle w:val="Heading2"/>
      </w:pPr>
      <w:r>
        <w:t>Erwägungen</w:t>
      </w:r>
    </w:p>
    <w:p>
      <w:r>
        <w:rPr>
          <w:b/>
        </w:rPr>
        <w:t>E. 2</w:t>
      </w:r>
    </w:p>
    <w:p>
      <w:r>
        <w:t>Die Vorinstanz tritt auf die Anklage des Sich-Bestechen-Lassens im Zusammenhang mit der Erteilung von 134 Visa an bangladeschische Staatsangehörige nicht ein, weil in der Anklageschrift die Amtshandlung, auf die sich der Vorteil beziehen müsse, nicht genügend umschrieben werde. Die Beschwerdeführerin stellt sich auf den Standpunkt, diese Auffassung beruhe auf einer unzutreffenden Anwendung von Art. 126 BStP , insbesondere von Abs. 1 Ziff. 2.</w:t>
      </w:r>
    </w:p>
    <w:p>
      <w:r>
        <w:rPr>
          <w:b/>
        </w:rPr>
        <w:t>E. 2.1</w:t>
      </w:r>
    </w:p>
    <w:p>
      <w:r>
        <w:t>Die Nichtigkeitsbeschwerde an den Kassationshof des Bundesgerichtes kann sich nur gegen letztinstanzliche Urteile richten (Art. 33 Abs. 3 lit. b des Bundesgesetzes vom 4. Oktober 2002 über das Bundesstrafgericht [Strafgerichtsgesetz, SGG; SR 173.71] i.V.m. Art. 268 BStP ). Mit dem Nichteintreten ist über den Vorwurf der passiven Bestechung in 134 Fällen für das vorliegende Verfahren endgültig entschieden. Entgegen der vorinstanzlichen Vernehmlassung liegt ein Endentscheid im Sinne von Art. 268 BStP vor, weshalb auf die Beschwerde einzutreten ist.</w:t>
      </w:r>
    </w:p>
    <w:p>
      <w:r>
        <w:rPr>
          <w:b/>
        </w:rPr>
        <w:t>E. 2.2.1</w:t>
      </w:r>
    </w:p>
    <w:p>
      <w:r>
        <w:t>Die Anklageschrift bezeichnet das strafbare Verhalten, dessen der Angeklagte beschuldigt wird, nach seinen tatsächlichen und gesetzlichen Merkmalen ( Art. 126 Abs. 1 Ziff. 2 BStP ). Im Zuge des Erlasses des Strafgerichtsgesetzes wurden Art. 126 BStP zum notwendigen Anklageinhalt und Art. 127 BStP zur Zustellung der Anklage angepasst beibehalten, die übrigen Bestimmungen zum BGE 133 IV 93 S. 95 Anklagezulassungsverfahren indessen gestrichen ( Art. 128-134 BStP ; vgl. Anhang Ziff. 9 SGG). Begründet wurde diese Streichung mit der Umständlichkeit des zweistufigen Verfahrens. Zudem stelle der Entscheid der Anklagekammer über die Anklagezulassung eine Art "Vor-Urteil" dar (Botschaft, BBl 2001 S. 4255). Unter altem Recht hatte die Anklagekammer im Rahmen der ihr obliegenden formellen Prüfung insbesondere darüber zu befinden, ob die Anklageschrift den aufgrund des Akkusationsprinzips an sie zu stellenden Anforderungen entsprach ( BGE 120 IV 348 E. 1 b). Gemäss diesem Entscheid kam der Anklagekammer ferner die Kompetenz zu, eine fehlerhafte Anklageschrift an den Bundesanwalt zurückzuweisen ( BGE 120 IV 348 E. 1c/dd). Auch der Entwurf zu einer vereinheitlichten eidgenössischen Strafprozessordnung sieht vor, dass die Verfahrensleitung die Anklageschrift überprüft. Ergibt sich auf Grund dieser Prüfung oder später im Verfahren, dass ein Urteil einstweilen nicht ergehen kann, so sistiert das Gericht das Verfahren. Falls erforderlich, weist es die Anklage zur Ergänzung oder Berichtigung an die Staatsanwaltschaft zurück (Art. 330 E-StPO, BBl 2006 S. 1389, 1491; dazu Botschaft, BBl 2006 S. 1275 ff.).</w:t>
      </w:r>
    </w:p>
    <w:p>
      <w:r>
        <w:rPr>
          <w:b/>
        </w:rPr>
        <w:t>E. 2.2.2</w:t>
      </w:r>
    </w:p>
    <w:p>
      <w:r>
        <w:t>Es stellt sich die Frage, wie unter geltendem Recht bis zum Inkrafttreten der vereinheitlichten Strafprozessordnung bei mangelhaften Anklagen zu verfahren ist. Aus dem Umstand, dass nach dem Wegfall des Anklagezulassungsverfahrens keine separate Behörde mehr über die Anklagezulassung befindet, folgt nicht, dass bei mangelhaften Anklagen lediglich die Möglichkeit bleibt, im Endentscheid nicht darauf einzutreten. Vielmehr sind Anklagemängel wie bisher während des Verfahrens zu beheben. Nach ARMAND Meyer (Die Bindung des Strafrichters an die eingeklagte Tat, Diss. Zürich 1972, S. 165 f.) verliert der Ankläger ab einem gewissen Zeitpunkt die Herrschaft über die Anklage. Das Gericht hat dann nur noch die Möglichkeit entweder zu verurteilen oder freizusprechen ( Art. 168 Abs. 2 BStP ). Genügt die Anklage nicht, so muss grundsätzlich freigesprochen werden. Ein solcher Freispruch ist sehr unbefriedigend, wenn sich der Angeklagte nach dem Untersuchungsergebnis eindeutig schuldig gemacht hat. Um dem Dilemma zwischen Verletzung des Anklageprinzips und ungerechtfertigtem Freispruch zu entgehen, bietet sich - zumindest dort wo ein Anklagezulassungsverfahren fehlt - die Rückweisung der Anklageschrift zur Berichtigung an (vgl. auch EDGAR FREY, Die Anklage im schweizerischen Strafprozessrecht, Diss. Zürich 1946, S. 76 ff.; M. GULDENER, Klage- und Anklageänderung im zürcherischen Recht, in: BGE 133 IV 93 S. 96 Festschrift Pfenninger, Zürich 1956, S. 84 ff.; NIKLAUS SCHMID, in: Andreas Donatsch/Niklaus Schmid [Hrsg.], Kommentar zur Strafprozessordnung des Kantons Zürich, Zürich 1996, § 182 N. 18). Auch der Bundesanwalt hat Möglichkeiten zur Anklageberichtigung während des Verfahrens ( Art. 166 BStP ). Mangelhafte Anklagen sind deshalb an die Bundesanwaltschaft zur Verbesserung zurückzuweisen.</w:t>
      </w:r>
    </w:p>
    <w:p>
      <w:r>
        <w:rPr>
          <w:b/>
        </w:rPr>
        <w:t>E. 2.2.3</w:t>
      </w:r>
    </w:p>
    <w:p>
      <w:r>
        <w:t>Die Vorinstanz gelangt zum Schluss, die Anklageschrift sei hinsichtlich der Amtshandlung, auf die sich der Vorteil beziehen müsse, ungenügend, was eine materielle Beurteilung des Vorwurfs ausschliesse. Im Endurteil tritt sie deshalb in diesem Punkt nicht auf die Anklage ein und verweist in ihrer Vernehmlassung auf die Möglichkeit der Wiedereinbringung. Dieses Vorgehen erweist sich als nicht bundesrechtskonform. Beinhaltet die Anklage nicht alle objektiven Tatbestandsmerkmale des angeklagten Delikts, so ist die Anklageschrift nach dem Gesagten zur Ergänzung an die Bundesanwaltschaft zurückzuweisen. Es geht nicht an, im Endentscheid auf die Anklage nicht einzutreten unter Hinweis auf die Möglichkeit der Wiedereinbringung, da der Angeklagte für den Fall, dass keine erneute Anklage erhoben wird, über die mit der ursprünglichen Anklage öffentlich gegen ihn erhobenen Anschuldigungen im Ungewissen gelassen würde. Wie erwähnt hat er jedoch einen grundsätzlichen Anspruch darauf, vom Gericht freigesprochen oder verurteilt zu werden ( Art. 168 Abs. 2 BStP ; s. auch ARTHUR BAUHOFER, Wer vor Gericht gestellt wird, muss freigesprochen oder verurteilt werden, in: Festschrift Pfenninger, a.a.O., S. 15 ff.; ROBERT HAUSER/ERHARD SCHWERI/KARL HARTMANN, Schweizerisches Strafprozessrecht, 6. Aufl., § 50 N. 8a; SCHMID, a.a.O., § 182 N. 1). Ferner gebieten auch der Grundsatz der materiellen Wahrheitsfindung ( Art. 146 Abs. 2 BStP ; s. auch Obergericht Zürich, I. Strafkammer, Urteil vom 10. Mai 1984, ZR 84/1985 Nr. 22 S. 66), das Prinzip der Verfahrenseinheit sowie die Prozessökonomie, den Anklagesachverhalt nach Möglichkeit in einem Verfahren zu beurteilen. Anklagemängel sind darum umgehend zu beheben, um über die berichtigte Anklage im selben Verfahren definitiv entscheiden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