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297</w:t>
      </w:r>
    </w:p>
    <w:p>
      <w:r>
        <w:t>Bundesgericht (BGE), 2007-08-15, FR</w:t>
      </w:r>
    </w:p>
    <w:p>
      <w:r>
        <w:rPr>
          <w:b/>
        </w:rPr>
        <w:t xml:space="preserve">Quelle: </w:t>
      </w:r>
      <w:r>
        <w:t>https://mcp.opencaselaw.ch/entscheid/bge_BGE_133_IV_297</w:t>
      </w:r>
    </w:p>
    <w:p>
      <w:r>
        <w:t>FR: ATF 133 IV 297</w:t>
      </w:r>
    </w:p>
    <w:p>
      <w:r>
        <w:t>IT: DTF 133 IV 297</w:t>
      </w:r>
    </w:p>
    <w:p>
      <w:pPr>
        <w:pStyle w:val="Heading2"/>
      </w:pPr>
      <w:r>
        <w:t>Regeste</w:t>
      </w:r>
    </w:p>
    <w:p>
      <w:r>
        <w:t>Regeste Art. 68 Ziff. 1 aStGB, 140 und 185 StGB; Konkurrenz zwischen Raub und Geiselnahme. Zwischen Raub und Geiselnahme besteht Konkurrenz, wenn sich die Drohung des Täters gegen Personen richtet, von denen er glaubt, sie könnten ihm Zugang zur Sache verschaffen, die er zu stehlen beabsichtigt, und er zudem weitere, unbeteiligte Personen in seine Gewalt bringt in der Absicht, jene Personen zu nötigen, die ihm Zugang zur Sache verschaffen sollen (E. 4.).</w:t>
      </w:r>
    </w:p>
    <w:p>
      <w:r>
        <w:t>Regeste Art. 68 ch. 1 aCP, 140 et 185 CP; concours entre le brigandage et la prise d'otage. Il y a concours entre le brigandage et la prise d'otage, lorsque l'auteur menace des personnes dont il croit qu'elles pourraient lui donner accès au bien convoité, afin qu'il puisse s'en emparer, et se rend en outre maître d'autres personnes, non impliquées, également dans le but de contraindre celles qui sont susceptibles de le faire, de lui donner accès au bien convoité (consid. 4).</w:t>
      </w:r>
    </w:p>
    <w:p>
      <w:r>
        <w:t>Regesto Art. 68 n. 1 vCP, 140 e 185 CP; concorso tra i reati di rapina e di presa d'ostaggio. Sussiste concorso tra la rapina e la presa d'ostaggio laddove l'agente minaccia delle persone che crede possano fornirgli l'accesso alla cosa voluta perché possa appropriarsene e si impadronisce inoltre di altre persone, non implicate, sempre allo scopo di costringere quelle che sono in grado di farlo a fornirgli l'accesso alla cosa voluta (consid. 4).</w:t>
      </w:r>
    </w:p>
    <w:p>
      <w:pPr>
        <w:pStyle w:val="Heading2"/>
      </w:pPr>
      <w:r>
        <w:t>Erwägungen</w:t>
      </w:r>
    </w:p>
    <w:p>
      <w:r>
        <w:rPr>
          <w:b/>
        </w:rPr>
        <w:t>E. 4</w:t>
      </w:r>
    </w:p>
    <w:p>
      <w:r>
        <w:t>En réalité, le recourant conteste surtout que l'infraction litigieuse puisse être retenue en concours avec le brigandage.</w:t>
      </w:r>
    </w:p>
    <w:p>
      <w:r>
        <w:rPr>
          <w:b/>
        </w:rPr>
        <w:t>E. 4.1</w:t>
      </w:r>
    </w:p>
    <w:p>
      <w:r>
        <w:t>Il y a concours réel en cas de concours d'infractions, c'est-à-dire lorsque, par plusieurs actes, l'auteur commet plusieurs infractions. Il y a concours idéal, lorsque, par un seul acte ou un ensemble d'actes formant un tout, l'auteur enfreint plusieurs dispositions pénales différentes, dont aucune ne saisit l'acte délictueux sous tous ses aspects. L' art. 140 CP , qui réprime le brigandage, protège le patrimoine, mais aussi la liberté d'autrui ( ATF 129 IV 61 consid. 2.1 p. 63). En BGE 133 IV 297 S. 301 revanche, l' art. 185 CP protège exclusivement la liberté, de l'otage, d'une part, et du tiers contraint, d'autre part. Les biens juridiques protégés par l'une et l'autre disposition ne se recouvrent donc pas entièrement. Dans l' ATF 113 IV 63 , le Tribunal fédéral a été amené à examiner le cas où, dans un premier temps, l'auteur avait exclusivement menacé l'employée de la poste avec un pistolet et obtenu ainsi qu'elle lui remette l'argent déposé près du guichet, puis, dans un second temps, dirigé son arme contre une cliente, ce qui avait conduit l'employée de la poste à placer une somme d'argent dans un sac et à le lui remettre, sans que, durant cette seconde phase, l'employée ait été à nouveau menacée. Il a estimé que le comportement adopté par l'auteur durant la première phase était constitutif de brigandage et que celui par lequel, durant la seconde phase, il avait uniquement menacé la cliente pour l'immobiliser près du guichet et l'avait ainsi mise hors d'état de résister, était constitutif de prise d'otage. Il a considéré que, dans un tel cas, il y a concours entre le brigandage et la prise d'otage. La doctrine majoritaire souscrit à cette jurisprudence (cf. BERNARD CORBOZ, Les infractions en droit suisse, vol. I, Berne 2002, art. 185 CP , n. 53; REHBERG/SCHMID, Strafrecht III, Delikte gegen den Einzelnen, 7 e éd., Zurich 1997, p. 366; SCHUBARTH, Kommentar zum schweizerischen Strafrecht, vol. II, art. 139 aCP, n. 97; TRECHSEL, Kurzkommentar, 2 e éd., Zurich 1997, art. 185 CP , n. 11; ANDREAS KOCH, Zur Abgrenzung von Raub, Erpressung und Geiselnahme, thèse Zurich 1994, p. 153 ss, qui estime toutefois que dans l' ATF 113 IV 63 c'est le concours réel qui eût dû être retenu). Certains auteurs sont en revanche d'un autre avis. Ainsi, pour STRATENWERTH, la prise d'otage absorbe le brigandage, car la peine encourue pour la première de ces infractions suffit pour tenir compte des spécificités de la seconde dans le cadre de la fixation de la peine (cf. STRATENWERTH, Schweizerisches Strafrecht, Partie spéciale II, 6 e éd., Berne 2003, § 5 n. 58). VERA DELNON et BERNHARD RÜDY estiment que, lorsque la violence ou la menace exercée par l'auteur contre des tiers ou des personnes susceptibles de le protéger vise exclusivement à briser la résistance de celui qui a la garde du bien convoité, seul le brigandage doit être retenu. En revanche, si la volonté de l'auteur va au-delà de la remise du bien convoité et s'il prend une personne en son pouvoir ou s'il utilise une personne qu'il a déjà BGE 133 IV 297 S. 302 maîtrisée, pour, par exemple, obliger la police à le laisser s'enfuir, il y a concours idéal entre le brigandage et la prise d'otage (cf. VERA DELNON/BERNHARD RÜDY, Verbrechen und Vergehen gegen die Freiheit, Strafgesetzbuch II, in Basler Kommentar II, art. 185 CP , n. 52; dans le même sens, cf. également MARCEL ALEXANDER NIGGLI/CHRISTOF RIEDO, Strafbare Handlungen gegen das Vermögen, in Basler Kommentar, Strafgesetzbuch II, art. 140 CP , n. 183).</w:t>
      </w:r>
    </w:p>
    <w:p>
      <w:r>
        <w:rPr>
          <w:b/>
        </w:rPr>
        <w:t>E. 4.2</w:t>
      </w:r>
    </w:p>
    <w:p>
      <w:r>
        <w:t>L'opinion de STRATENWERTH n'est pas convaincante. Pour déterminer s'il y a concours idéal entre deux infractions ou si, au contraire, l'une d'elles absorbe l'autre, la question pertinente est de savoir si les biens juridiques protégés par chacune d'elles se recouvrent. S'ils ne se recouvrent pas ou pas entièrement, aucune des deux infractions ne saisit le comportement de l'auteur sous tous ses aspects, de sorte que toutes deux doivent être retenues. On ne voit pas en quoi le fait que la peine encourue, théoriquement, pour l'une d'elles suffirait pour conclure qu'elle absorbe l'autre. L'opinion de VERA DELNON et de BERNHARD RÜDY peut être suivie, dans la mesure où ces deux auteurs admettent le concours entre le brigandage et la prise d'otage, lorsque celui qui commet un brigandage se rend aussi maître d'une personne pour empêcher la police de le poursuivre. Dans la mesure toutefois où ils considèrent que le recours à la violence ou à la menace contre une personne non impliquée, dans le but d'exercer une contrainte sur celui qui a la garde du bien convoité, est constitutif de brigandage, leur opinion repose sur le raisonnement de l' ATF 102 IV 20 , qui a été abandonné dans l' ATF 113 IV 63 , depuis lequel le Tribunal fédéral qualifie un tel comportement de prise d'otage.</w:t>
      </w:r>
    </w:p>
    <w:p>
      <w:r>
        <w:rPr>
          <w:b/>
        </w:rPr>
        <w:t>E. 4.3</w:t>
      </w:r>
    </w:p>
    <w:p>
      <w:r>
        <w:t>En l'espèce, le recourant et son comparse ont menacé des personnes dont ils croyaient qu'elles pourraient leur donner accès au coffre, afin qu'elles le leur ouvrent et qu'ils puissent s'emparer de son contenu, adoptant ainsi un comportement qui doit être qualifié de brigandage. Ils se sont cependant aussi rendus maîtres de nombreuses autres personnes, non impliquées, et cela également dans le but de contraindre celles qui étaient susceptibles de le faire de leur ouvrir le coffre; un tel comportement doit être qualifié de prise d'otage. Les deux infractions sont donc réalisées et doivent être retenues en concours, cela d'autant plus que les agissements du recourant et de son comparse ont porté atteinte non seulement à la liberté des employés séquestrés et de la personne contrainte de leur ouvrir le BGE 133 IV 297 S. 303 coffre, mais aussi au patrimoine d'autrui, soit à un bien juridique protégé par l' art. 140 CP , mais non par l' art. 185 CP . Subséquemment, l'arrêt attaqué ne viole pas le droit fédéral en tant qu'il retient le concours entre le brigandage et la prise d'otage.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