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293</w:t>
      </w:r>
    </w:p>
    <w:p>
      <w:r>
        <w:t>Bundesgericht (BGE), 2007-08-24, DE</w:t>
      </w:r>
    </w:p>
    <w:p>
      <w:r>
        <w:rPr>
          <w:b/>
        </w:rPr>
        <w:t xml:space="preserve">Quelle: </w:t>
      </w:r>
      <w:r>
        <w:t>https://mcp.opencaselaw.ch/entscheid/bge_BGE_133_IV_293</w:t>
      </w:r>
    </w:p>
    <w:p>
      <w:r>
        <w:t>FR: ATF 133 IV 293</w:t>
      </w:r>
    </w:p>
    <w:p>
      <w:r>
        <w:t>IT: DTF 133 IV 293</w:t>
      </w:r>
    </w:p>
    <w:p>
      <w:pPr>
        <w:pStyle w:val="Heading2"/>
      </w:pPr>
      <w:r>
        <w:t>Regeste</w:t>
      </w:r>
    </w:p>
    <w:p>
      <w:r>
        <w:t>Regeste Verfahren bei mangelhafter Sachverhaltsfeststellung. Ein Urteil ohne die zur Subsumtion notwendigen tatsächlichen Grundlagen ist bundesrechtswidrig. Ist ein Sachverhalt in diesem Sinne lückenhaft und kann deshalb die Gesetzesanwendung nicht nachgeprüft werden, so ist das angefochtene Urteil aufzuheben und die Sache zur ergänzenden Tatsachenfeststellung und neuen Beurteilung an die Vorinstanz zurückzuweisen (E. 3.4). Die Einholung einer Stellungnahme der Gegenpartei ist entbehrlich, da bei der Rückweisung zur Sachverhaltsergänzung der Entscheid in der Sache nicht präjudiziert wird (E. 3.4.2).</w:t>
      </w:r>
    </w:p>
    <w:p>
      <w:r>
        <w:t>Regeste Procédure en cas de lacune dans l'état de fait. Un jugement prononcé sans que les faits nécessaires à l'application de la loi soient constatés est contraire au droit fédéral. Lorsqu'un état de fait est lacunaire et qu'ainsi l'application de la loi ne peut pas être contrôlée, la décision attaquée doit être annulée et la cause renvoyée à l'autorité précédente afin que l'état de fait soit complété et qu'un nouveau jugement soit prononcé (consid. 3.4). Il est superflu de demander des déterminations à la partie adverse car, en cas de renvoi pour compléter l'état de fait, le Tribunal ne préjuge pas de la cause (consid. 3.4.2).</w:t>
      </w:r>
    </w:p>
    <w:p>
      <w:r>
        <w:t>Regesto Procedura in caso di accertamento incompleto dei fatti. Una sentenza resa senza i necessari accertamenti di fatto per la sussunzione giuridica viola il diritto federale. Qualora l'accertamento dei fatti sia lacunoso e non permetta perciò di riconoscere in quale modo sia stata applicata la legge, la decisione impugnata dev'essere annullata e la causa rinviata all'autorità inferiore affinché provveda al completamento degli accertamenti e pronunci un nuovo giudizio (consid. 3.4). Non occorre richiedere delle osservazioni alla controparte dal momento che, in caso di rinvio per completamento degli accertamenti di fatto, non si pregiudica la decisione di merito (consid. 3.4.2).</w:t>
      </w:r>
    </w:p>
    <w:p>
      <w:pPr>
        <w:pStyle w:val="Heading2"/>
      </w:pPr>
      <w:r>
        <w:t>Erwägungen</w:t>
      </w:r>
    </w:p>
    <w:p>
      <w:r>
        <w:rPr>
          <w:b/>
        </w:rPr>
        <w:t>E. 3.4.1</w:t>
      </w:r>
    </w:p>
    <w:p>
      <w:r>
        <w:t>Unter der Herrschaft des bisherigen Verfahrensrechts wurden Entscheidungen, die an derartigen Mängeln litten, dass die Gesetzesanwendung nicht nachgeprüft werden konnte, aufgehoben und die Sache zur ergänzenden Sachverhaltsfeststellung an die BGE 133 IV 293 S. 295 kantonale Behörde zurückgewiesen (vgl. Art. 277 BStP ). Es wurde verlangt, dass die kantonale Behörde ihre Entscheidung so begründet, dass das Bundesgericht die Gesetzesanwendung überprüfen kann (vgl. BGE 129 IV 71 E. 1.5). Das Bundesgericht kann die Rechtsanwendung nur überprüfen, wenn die Vorinstanz die für die Subsumtion notwendigen tatsächlichen Feststellungen getroffen hat. Dazu muss das Bundesgericht wissen, welchen Sachverhalt die Vorinstanz als erwiesen annahm und auf welche rechtlichen Erwägungen es seinen Entscheid stützte (vgl. ERHARD SCHWERI, Eidgenössische Nichtigkeitsbeschwerde in Strafsachen, Bern 1993, N. 597; MARTIN SCHUBARTH, Nichtigkeitsbeschwerde 2001, Bern 2001, N. 152).</w:t>
      </w:r>
    </w:p>
    <w:p>
      <w:r>
        <w:rPr>
          <w:b/>
        </w:rPr>
        <w:t>E. 3.4.2</w:t>
      </w:r>
    </w:p>
    <w:p>
      <w:r>
        <w:t>Art. 105 des Bundesgesetzes vom 17. Juni 2005 über das Bundesgericht (BGG; SR 173.110) bestimmt unter dem Randtitel "massgebender Sachverhalt", dass das Bundesgericht seinem Urteil den Sachverhalt zugrunde legt, den die Vorinstanz festgestellt hat (Abs. 1). Es kann die Sachverhaltsfeststellung der Vorinstanz von Amtes wegen berichtigen oder ergänzen, wenn sie offensichtlich unrichtig ist oder auf einer Rechtsverletzung im Sinne von Artikel 95 beruht (Abs. 2). Das Bundesgerichtsgesetz enthält keine explizite Regelung für den Fall unvollständiger Sachverhaltsfeststellungen durch die Vorinstanz. Eine Art. 277 BStP entsprechende Bestimmung fehlt. Zwar eröffnet Art. 105 Abs. 2 BGG die Möglichkeit, Sachverhaltsfeststellungen von Amtes wegen zu "ergänzen". Aus dem Umstand, dass das Bundesgericht Sachverhaltsfeststellungen ergänzen kann, folgt indes nicht, dass jede Lücke im Sachverhalt durch das Bundesgericht zu schliessen ist. Aus dem Gesetzestext geht klar hervor, dass die Sachverhaltsergänzung auf "offensichtlich unrichtige" Feststellungen begrenzt ist. Es kann insoweit auf die bisherige Rechtsprechung zu den offenkundig auf Versehen beruhenden Sachverhaltsfeststellungen zurückgegriffen werden ( Art. 277 bis Abs. 1 Satz 3 BStP ; BGE 121 IV 104 E. 2b). Wie Art. 105 Abs. 1 BGG klarstellt, ist das Bundesgericht grundsätzlich an den von der Vorinstanz festgestellten Sachverhalt gebunden. Als oberste Recht sprechende Behörde ( Art. 1 Abs. 1 BGG ) hat das Bundesgericht die angefochtenen Entscheidungen auf die richtige Rechtsanwendung hin zu überprüfen. Für ergänzende Tatsachen- und Beweiserhebungen sind die Sachgerichte zuständig. Art. 105 Abs. 2 BGG verpflichtet das Bundesgericht somit nicht zur Sachverhaltsergänzung. Ist ein Sachverhalt lückenhaft, leidet die Entscheidung mit anderen Worten an derartigen Mängeln, dass die Gesetzesanwendung nicht nachgeprüft BGE 133 IV 293 S. 296 werden kann (vgl. Art. 277 BStP ), so ist das angefochtene Urteil auch unter neuem Recht aufzuheben und die Sache zur ergänzenden Tatsachenfeststellung und neuen Beurteilung an die Vorinstanz zurückzuweisen ( Art. 107 Abs. 2 BGG ). Gemäss der Botschaft verletzt die Vorinstanz materielles Bundesrecht, wenn sie nicht alle relevanten Tatsachen ermittelt, die zu seiner Anwendung nötig sind (Botschaft zur Totalrevision der Bundesrechtspflege vom 28. Februar 2001, BBl 2001 S. 4338). Eine Verurteilung ohne die tatbestandsnotwendigen tatsächlichen Grundlagen ist somit bundesrechtswidrig. Eine Aufhebung wegen mangelhafter Tatsachenfeststellungen kann weiterhin ohne Einvernahme der Gegenpartei erfolgen (vgl. Art. 277 BStP "ohne Mitteilung der Beschwerdeschrift"), da bei der Rückweisung zur Sachverhaltsergänzung der Entscheid in der Sache nicht präjudiziert wird.</w:t>
      </w:r>
    </w:p>
    <w:p>
      <w:r>
        <w:rPr>
          <w:b/>
        </w:rPr>
        <w:t>E. 3.4.3</w:t>
      </w:r>
    </w:p>
    <w:p>
      <w:r>
        <w:t>Im vorliegenden Fall steht das verletzungsverursachende Kerngeschehen nicht fest. Mangels Kenntnis der genauen Tatumstände, können die sich danach richtenden Sorgfaltspflichten und damit auch die richtige Anwendung der bundesrechtlichen Bestimmung über die Fahrlässigkeit ( Art. 12 Abs. 3 StGB ) nicht überprüft werden. Dem angefochtenen Urteil fehlen die zur Verurteilung wegen fahrlässiger Körperverletzung notwendigen tatsächlichen Grundlagen, weshalb die Angelegenheit zur ergänzenden Sachverhaltsfeststellung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