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134</w:t>
      </w:r>
    </w:p>
    <w:p>
      <w:r>
        <w:t>Bundesgericht (BGE), 2007-05-21, DE</w:t>
      </w:r>
    </w:p>
    <w:p>
      <w:r>
        <w:rPr>
          <w:b/>
        </w:rPr>
        <w:t xml:space="preserve">Quelle: </w:t>
      </w:r>
      <w:r>
        <w:t>https://mcp.opencaselaw.ch/entscheid/bge_BGE_133_IV_134</w:t>
      </w:r>
    </w:p>
    <w:p>
      <w:r>
        <w:t>FR: ATF 133 IV 134</w:t>
      </w:r>
    </w:p>
    <w:p>
      <w:r>
        <w:t>IT: DTF 133 IV 134</w:t>
      </w:r>
    </w:p>
    <w:p>
      <w:pPr>
        <w:pStyle w:val="Heading2"/>
      </w:pPr>
      <w:r>
        <w:t>Regeste</w:t>
      </w:r>
    </w:p>
    <w:p>
      <w:r>
        <w:t>Regeste Art. 84 BGG, Art. 80p Abs. 4 IRSG; Beschwerde in öffentlich-rechtlichen Angelegenheiten im Bereich der internationalen Rechtshilfe in Strafsachen; Auslieferung unter annahmebedürftigen Auflagen. Gegen den Entscheid des Bundesstrafgerichtes darüber, ob die Antwort des ersuchenden Staates den verlangten Auflagen genügt, ist die Beschwerde in öffentlich-rechtlichen Angelegenheiten unzulässig (E. 1).</w:t>
      </w:r>
    </w:p>
    <w:p>
      <w:r>
        <w:t>Regeste Art. 84 LTF, art. 80p al. 4 EIMP; recours en matière de droit public dans le domaine de l'entraide pénale internationale; extradition sous conditions soumises à acceptation. Le recours en matière de droit public est irrecevable contre la décision du Tribunal pénal fédéral sur la question de savoir si la réponse de l'Etat requérant constitue un engagement suffisant au regard des conditions fixées (consid. 1).</w:t>
      </w:r>
    </w:p>
    <w:p>
      <w:r>
        <w:t>Regesto Art. 84 LTF, art. 80p cpv. 4 AIMP; ricorso in materia di diritto pubblico contro una decisione nel campo dell'assistenza giudiziaria internazionale in materia penale; estradizione con oneri subordinati ad accettazione. Il ricorso in materia di diritto pubblico è inammissibile contro una decisione del Tribunale penale federale sulla questione di sapere se la risposta dello Stato richiedente soddisfi gli oneri richiesti (consid. 1).</w:t>
      </w:r>
    </w:p>
    <w:p>
      <w:pPr>
        <w:pStyle w:val="Heading2"/>
      </w:pPr>
      <w:r>
        <w:t>Erwägungen</w:t>
      </w:r>
    </w:p>
    <w:p>
      <w:r>
        <w:rPr>
          <w:b/>
        </w:rPr>
        <w:t>E. 1</w:t>
      </w:r>
    </w:p>
    <w:p>
      <w:r>
        <w:t>Gemäss Art. 84 des Bundesgesetzes vom 17. Juni 2005 über das Bundesgericht (Bundesgerichtsgesetz, BGG; SR 173.110) ist die Beschwerde gegen einen Entscheid auf dem Gebiet der internationalen Rechtshilfe in Strafsachen nur zulässig, wenn er unter anderem eine BGE 133 IV 134 S. 136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Beschwerdeführer beruft sich auf diese Bestimmung. Er macht geltend, es gehe um eine Auslieferung und es liege ein besonders bedeutender Fall vor. Wie es sich mit Letzterem verhält, kann aus den folgenden Erwägungen offenbleiben. Gemäss Art. 80p des Bundesgesetzes vom 20. März 1981 über internationale Rechtshilfe in Strafsachen (Rechtshilfegesetz, IRSG; SR 351.1) - der auch im Bereich der Auslieferung anwendbar ist ( BGE 123 II 511 E. 4a S. 515) - kann unter anderem die Rechtsmittelinstanz die Gewährung der Rechtshilfe an Auflagen knüpfen (Abs. 1). Das Bundesamt prüft, ob die Antwort des ersuchenden Staates den verlangten Auflagen genügt (Abs. 3). Die Verfügung des Bundesamtes kann innert zehn Tagen ab der schriftlichen Mitteilung mit Beschwerde bei der Beschwerdekammer des Bundesstrafgerichtes angefochten werden. Der Entscheid der Beschwerdekammer ist endgültig (Abs. 4). Im vorliegenden Fall hat das Bundesamt in Anwendung von Art. 80p Abs. 3 IRSG geprüft, ob die Antwort des ersuchenden Staates ausreicht. Die Beschwerde in öffentlich-rechtlichen Angelegenheiten gegen den Entscheid des Bundesstrafgerichts ist damit nach der ausdrücklichen Sonderbestimmung von Art. 80p Abs. 4 Satz 2 IRSG unzulässig (vgl. HEINZ AEMISEGGER, Der Beschwerdegang in öffentlich-rechtlichen Angelegenheiten, in: Ehrenzeller/Schweizer [Hrsg.], Die Reorganisation der Bundesrechtspflege - Neuerungen und Auswirkungen in der Praxis, St. Gallen 2006, S. 185; RUDOLF WYSS, Strafrechtshilfe - wie weiter?, in: Aus der Werkstatt des Rechts, Festschrift für Heinrich Koller, Basel 2006, S. 298). Diese Bestimmung - die der Beschwerdeführer übergeht, obwohl das Bundesstrafgericht in der Rechtsmittelbelehrung ausdrücklich darauf hingewiesen hat - ist am gleichen Tag erlassen worden wie das Bundesgerichtsgesetz und gleichzeitig mit diesem, am 1. Januar 2007, in Kraft gesetzt worden. Sie geht als Sonderbestimmung Art. 84 BGG vor und ist somit auch dann anwendbar, wenn es um eine Auslieferung geht und ein besonders bedeutender Fall vorliegen sollte. Auf die Beschwerde kann danach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