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468</w:t>
      </w:r>
    </w:p>
    <w:p>
      <w:r>
        <w:t>Bundesgericht (BGE), 2005-08-31, FR</w:t>
      </w:r>
    </w:p>
    <w:p>
      <w:r>
        <w:rPr>
          <w:b/>
        </w:rPr>
        <w:t xml:space="preserve">Quelle: </w:t>
      </w:r>
      <w:r>
        <w:t>https://mcp.opencaselaw.ch/entscheid/bge_BGE_133_II_468</w:t>
      </w:r>
    </w:p>
    <w:p>
      <w:r>
        <w:t>FR: ATF 133 II 468</w:t>
      </w:r>
    </w:p>
    <w:p>
      <w:r>
        <w:t>IT: DTF 133 II 468</w:t>
      </w:r>
    </w:p>
    <w:p>
      <w:pPr>
        <w:pStyle w:val="Heading2"/>
      </w:pPr>
      <w:r>
        <w:t>Regeste</w:t>
      </w:r>
    </w:p>
    <w:p>
      <w:r>
        <w:t>Regeste Art. 89 Abs. 1 BGG; Legitimation des Anzeigers zur Beschwerde in öffentlich-rechtlichen Angelegenheiten. Der Entscheid der Aufsichtsbehörde, einer Anzeige gegen einen Notar keine Folge zu geben, berührt keine schutzwürdigen Interessen des Anzeigers, denn die Disziplinaraufsicht über die Notare dient - gleich wie diejenige über die Anwälte - dazu, eine korrekte Berufsausübung sicherzustellen und das Vertrauen des Publikums zu schützen, und nicht dazu, die privaten Interessen des Einzelnen wahrzunehmen (E. 2).</w:t>
      </w:r>
    </w:p>
    <w:p>
      <w:r>
        <w:t>Regeste Art. 89 al. 1 LTF; qualité pour agir du dénonciateur par la voie du recours en matière de droit public. La décision de l'autorité de surveillance de ne pas donner suite à la plainte dirigée contre un notaire ne constitue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(consid. 2).</w:t>
      </w:r>
    </w:p>
    <w:p>
      <w:r>
        <w:t>Regesto Art. 89 cpv. 1 LTF; legittimazione del denunciante ad interporre ricorso in materia di diritto pubblico. La decisione dell'autorità di vigilanza di non dar seguito ad una segnalazione contro un notaio non tocca gli interessi degni di protezione del denunciante in quanto la procedura di vigilanza disciplinare sui notai - come quella sugli avvocati - persegue lo scopo di assicurare l'esercizio corretto della professione e di preservare la fiducia del pubblico e non di difendere interessi privati dei singoli (consid. 2).</w:t>
      </w:r>
    </w:p>
    <w:p>
      <w:pPr>
        <w:pStyle w:val="Heading2"/>
      </w:pPr>
      <w:r>
        <w:t>Erwägungen</w:t>
      </w:r>
    </w:p>
    <w:p>
      <w:r>
        <w:rPr>
          <w:b/>
        </w:rPr>
        <w:t>E. 1</w:t>
      </w:r>
    </w:p>
    <w:p>
      <w:r>
        <w:t>En vertu de l'art. 89 al. 1 de la loi du 17 juin 2005 sur le Tribunal fédéral (LTF; RS 173.110),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Cette disposition reprend en particulier les exigences qui prévalaient sous l'empire de l' art. 103 let. a OJ (RO 3 p. 521) pour le recours de droit BGE 133 II 468 S. 470 administratif (cf. Message du Conseil fédéral concernant la révision totale de l'organisation judiciaire fédérale du 28 février 2001, FF 2001 p. 4126 [ci-après: le Message]). Selon la jurisprudence applicable au recours de droit administratif, dont il n'y a pas lieu de s'écarter (cf. ATF 133 II 249 consid. 1.3.1 p. 253),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130 V 196 consid. 3 p. 202/203; ATF 128 V 34 consid. 1a p. 36 et les arrêts cités).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C'est d'ailleurs dans ce sens que le législateur a rendu encore plus stricte la condition de l'intérêt personnel au recours en matière de droit public, précisant à l' art. 89 al. 1 let. b LTF que le recourant doit être "particulièrement atteint" par l'acte attaqué; celui-ci doit donc avoir un intérêt personnel qui se distingue nettement de l'intérêt général des autres membres de la collectivité dont l'organe a statué (Message, FF 2001 p. 4127). D'après la doctrine, ce "signal rédactionnel" ne fait que confirmer la tendance de la jurisprudence à resserrer la portée de l'intérêt digne de protection, particulièrement en ce qui concerne la légitimation des tiers (ETIENNE POLTIER, Le recours en matière de droit public, in: La nouvelle loi sur le Tribunal fédéral, Publication CEDIDAC 71, Lausanne 2007, p. 159; KARL SPÜHLER/ ANNETTE DOLGE/DOMINIK VOCK, Kurzkommentar zum Bundesgerichtsgesetz, Zurich/St-Gall 2006, n. 4 ad art. 89 LTF p. 167; REGINA KIENER, Die Beschwerde in öffentlich-rechtlichen Angelegenheiten, in: Neue Bundesrechtspflege, Berner Tage für die juristische Praxis 2006, Berne 2007, p. 256; HEINZ AEMISEGGER, Der Beschwerdegang in öffentlich-rechtlichen Angelegenheiten, in: Die Reorganisation der Bundesrechtspflege - Neuerungen und Auswirkungen in der Praxis, St-Gall 2006, p. 151; HANSJÖRG SEILER/NICOLAS VON WERDT/ BGE 133 II 468 S. 471 ANDREAS GÜNGERICH, Kommentar zum Bundesgerichtsgesetz, Berne 2007, n. 19 ss ad art. 89 LTF p. 361 ss).</w:t>
      </w:r>
    </w:p>
    <w:p>
      <w:r>
        <w:rPr>
          <w:b/>
        </w:rPr>
        <w:t>E. 2</w:t>
      </w:r>
    </w:p>
    <w:p>
      <w:r>
        <w:t>En l'espèce, l'arrêt attaqué confirme, sur recours, le refus de la Chambre des notaires d'entrer en matière sur la dénonciation déposée par le recourant contre l'intimé.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(cf. ANDRÉ GRISEL, Traité de droit administratif, vol. II, Neuchâtel 1984, p. 950 ss; BLAISE KNAPP, Précis de droit administratif, 4 e éd., Bâle 1991, p. 375/376; PIERRE MOOR, Droit administratif, vol. III, 2 e éd., Berne 1992, p. 13/14). Par conséquent, la seule qualité de dénonciateur ne donne pas le droit de recourir contre la décision prise à la suite de la dénonciation; le dénonciateur doit encore pouvoir invoquer un intérêt digne de protection à ce que l'autorité de surveillance intervienne (cf. ATF 120 Ib 351 consid. 3a p. 355).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 ATF 132 II 250 consid. 4.2 p. 254 et ATF 129 II 297 consid. 3.1 p. 302/303 et les références). En effet, la procédure de surveillance disciplinaire des avocats a pour but d'assurer l'exercice correct de la profession par les avocats et de préserver la confiance du public à leur égard et non de défendre les intérêts privés des particuliers ( ATF 132 II 250 consid. 4.4 p. 255; ATF 108 Ia 230 consid. 2b p. 232). Dans le cas particulier, le recourant a dénoncé l'intimé à la Chambre des notaires, car il estimait que celui-ci avait violé la loi vaudoise sur le notariat et que son comportement devait être sanctionné. Dans son recours au Tribunal fédéral, il est d'avis que "l'arrêt entrepris aurait dû constater que le notaire Y. avait violé de manière BGE 133 II 468 S. 472 importante et répétée l'art. 57 de la loi du 10 décembre 1956 sur le notariat". En parallèle à la présente procédure, l'intéressé a ouvert action devant le Tribunal civil d'arrondissement de la Côte, le 31 août 2005, afin d'obtenir réparation de son éventuel dommage matériel. Il a ainsi un certain intérêt à faire sanctionner disciplinairement l'intimé, afin d'en tirer profit dans la procédure civile. Cet intérêt est toutefois de pur fait et sort manifestement du cadre délimité par l'objet de la contestation, dans la mesure où la procédure de surveillance disciplinaire des notaires - tout comme celle des avocats - vise à assurer l'exercice correct de la profession et à préserver la confiance du public. Par ailleurs, au cas où le but recherché par le recourant serait également la défense de l'intérêt public, il sied de rappeler que l'action populaire est exclue en procédure fédérale. Dans ces circonstances, il apparaît que le recourant n'est pas "particulièrement atteint" par l'arrêt attaqué au sens de l' art. 89 al. 1 let. b LTF et n'a pas d'intérêt digne de protection à obtenir son annulation. Peu importe au demeurant qu'il ait pris valablement part à la procédure devant l'autorité intimée. Seite 47 Zeile 5 von oben: BGE 133 I 106 (statt Band 133 I) Seite 305 Zeile 3 von unten: 24 lett. e (statt 24 lett. c) Seite 305 Zeile 14 von unten: 24 lit. e (statt 24 lit. c) Seite 305 Zeile 26 von unten: 24 let. e (statt 24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